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chart11.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24.xml" ContentType="application/vnd.openxmlformats-officedocument.drawingml.chart+xml"/>
  <Override PartName="/word/charts/style12.xml" ContentType="application/vnd.ms-office.chartstyle+xml"/>
  <Override PartName="/word/charts/colors12.xml" ContentType="application/vnd.ms-office.chartcolorstyle+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207EB" w:rsidRDefault="00C04388" w:rsidP="007026B1">
      <w:pPr>
        <w:ind w:firstLine="284"/>
        <w:rPr>
          <w:rFonts w:ascii="Times New Roman" w:hAnsi="Times New Roman"/>
        </w:rPr>
      </w:pPr>
      <w:r w:rsidRPr="00FE5D60">
        <w:rPr>
          <w:noProof/>
          <w:lang w:eastAsia="uk-UA"/>
        </w:rPr>
        <w:drawing>
          <wp:anchor distT="0" distB="0" distL="114300" distR="114300" simplePos="0" relativeHeight="251665408" behindDoc="1" locked="0" layoutInCell="1" allowOverlap="1" wp14:anchorId="7CBA1DA2" wp14:editId="0B0FDC45">
            <wp:simplePos x="0" y="0"/>
            <wp:positionH relativeFrom="page">
              <wp:posOffset>152400</wp:posOffset>
            </wp:positionH>
            <wp:positionV relativeFrom="margin">
              <wp:posOffset>-433705</wp:posOffset>
            </wp:positionV>
            <wp:extent cx="7321166" cy="10424160"/>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Title-0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328251" cy="10434248"/>
                    </a:xfrm>
                    <a:prstGeom prst="rect">
                      <a:avLst/>
                    </a:prstGeom>
                  </pic:spPr>
                </pic:pic>
              </a:graphicData>
            </a:graphic>
            <wp14:sizeRelH relativeFrom="margin">
              <wp14:pctWidth>0</wp14:pctWidth>
            </wp14:sizeRelH>
            <wp14:sizeRelV relativeFrom="margin">
              <wp14:pctHeight>0</wp14:pctHeight>
            </wp14:sizeRelV>
          </wp:anchor>
        </w:drawing>
      </w:r>
    </w:p>
    <w:p w:rsidR="007026B1" w:rsidRDefault="007026B1" w:rsidP="007026B1">
      <w:pPr>
        <w:ind w:firstLine="284"/>
        <w:rPr>
          <w:rFonts w:ascii="Times New Roman" w:hAnsi="Times New Roman"/>
        </w:rPr>
      </w:pPr>
    </w:p>
    <w:p w:rsidR="00C04388" w:rsidRDefault="00C04388" w:rsidP="00490BA1">
      <w:pPr>
        <w:pStyle w:val="Default"/>
        <w:spacing w:line="288" w:lineRule="auto"/>
        <w:jc w:val="center"/>
        <w:rPr>
          <w:rFonts w:ascii="Times New Roman" w:hAnsi="Times New Roman"/>
        </w:rPr>
      </w:pPr>
    </w:p>
    <w:p w:rsidR="00C04388" w:rsidRDefault="00C04388" w:rsidP="00490BA1">
      <w:pPr>
        <w:pStyle w:val="Default"/>
        <w:spacing w:line="288" w:lineRule="auto"/>
        <w:jc w:val="center"/>
        <w:rPr>
          <w:rFonts w:ascii="Times New Roman" w:hAnsi="Times New Roman"/>
        </w:rPr>
      </w:pPr>
    </w:p>
    <w:p w:rsidR="00C04388" w:rsidRDefault="00C04388" w:rsidP="00490BA1">
      <w:pPr>
        <w:pStyle w:val="Default"/>
        <w:spacing w:line="288" w:lineRule="auto"/>
        <w:jc w:val="center"/>
        <w:rPr>
          <w:rFonts w:ascii="Times New Roman" w:hAnsi="Times New Roman"/>
        </w:rPr>
      </w:pPr>
    </w:p>
    <w:p w:rsidR="00C04388" w:rsidRDefault="00C04388" w:rsidP="00490BA1">
      <w:pPr>
        <w:pStyle w:val="Default"/>
        <w:spacing w:line="288" w:lineRule="auto"/>
        <w:jc w:val="center"/>
        <w:rPr>
          <w:rFonts w:ascii="Times New Roman" w:hAnsi="Times New Roman"/>
        </w:rPr>
      </w:pPr>
    </w:p>
    <w:p w:rsidR="00C04388" w:rsidRDefault="00C04388" w:rsidP="00490BA1">
      <w:pPr>
        <w:pStyle w:val="Default"/>
        <w:spacing w:line="288" w:lineRule="auto"/>
        <w:jc w:val="center"/>
        <w:rPr>
          <w:rFonts w:ascii="Times New Roman" w:hAnsi="Times New Roman"/>
        </w:rPr>
      </w:pPr>
    </w:p>
    <w:p w:rsidR="00C04388" w:rsidRDefault="00C04388" w:rsidP="00490BA1">
      <w:pPr>
        <w:pStyle w:val="Default"/>
        <w:spacing w:line="288" w:lineRule="auto"/>
        <w:jc w:val="center"/>
        <w:rPr>
          <w:rFonts w:ascii="Times New Roman" w:hAnsi="Times New Roman"/>
        </w:rPr>
      </w:pPr>
    </w:p>
    <w:p w:rsidR="00C04388" w:rsidRDefault="00C04388" w:rsidP="00490BA1">
      <w:pPr>
        <w:pStyle w:val="Default"/>
        <w:spacing w:line="288" w:lineRule="auto"/>
        <w:jc w:val="center"/>
        <w:rPr>
          <w:rFonts w:ascii="Times New Roman" w:hAnsi="Times New Roman"/>
        </w:rPr>
      </w:pPr>
    </w:p>
    <w:p w:rsidR="00C04388" w:rsidRDefault="00C04388" w:rsidP="00490BA1">
      <w:pPr>
        <w:pStyle w:val="Default"/>
        <w:spacing w:line="288" w:lineRule="auto"/>
        <w:jc w:val="center"/>
        <w:rPr>
          <w:rFonts w:ascii="Times New Roman" w:hAnsi="Times New Roman"/>
        </w:rPr>
      </w:pPr>
    </w:p>
    <w:p w:rsidR="0021224F" w:rsidRDefault="0021224F" w:rsidP="00490BA1">
      <w:pPr>
        <w:pStyle w:val="Default"/>
        <w:spacing w:line="288" w:lineRule="auto"/>
        <w:jc w:val="center"/>
        <w:rPr>
          <w:rFonts w:ascii="Times New Roman" w:hAnsi="Times New Roman"/>
        </w:rPr>
      </w:pPr>
    </w:p>
    <w:p w:rsidR="0021224F" w:rsidRDefault="0021224F" w:rsidP="00490BA1">
      <w:pPr>
        <w:pStyle w:val="Default"/>
        <w:spacing w:line="288" w:lineRule="auto"/>
        <w:jc w:val="center"/>
        <w:rPr>
          <w:rFonts w:ascii="Times New Roman" w:hAnsi="Times New Roman"/>
        </w:rPr>
      </w:pPr>
    </w:p>
    <w:p w:rsidR="0021224F" w:rsidRDefault="0021224F" w:rsidP="00490BA1">
      <w:pPr>
        <w:pStyle w:val="Default"/>
        <w:spacing w:line="288" w:lineRule="auto"/>
        <w:jc w:val="center"/>
        <w:rPr>
          <w:rFonts w:ascii="Times New Roman" w:hAnsi="Times New Roman"/>
        </w:rPr>
      </w:pPr>
    </w:p>
    <w:p w:rsidR="0021224F" w:rsidRDefault="0021224F" w:rsidP="00490BA1">
      <w:pPr>
        <w:pStyle w:val="Default"/>
        <w:spacing w:line="288" w:lineRule="auto"/>
        <w:jc w:val="center"/>
        <w:rPr>
          <w:rFonts w:ascii="Times New Roman" w:hAnsi="Times New Roman"/>
        </w:rPr>
      </w:pPr>
    </w:p>
    <w:p w:rsidR="00BA3238" w:rsidRPr="0080726C" w:rsidRDefault="00BA3238" w:rsidP="0021224F">
      <w:pPr>
        <w:pStyle w:val="afff2"/>
        <w:ind w:left="284"/>
        <w:jc w:val="center"/>
        <w:rPr>
          <w:color w:val="365F91" w:themeColor="accent1" w:themeShade="BF"/>
          <w:sz w:val="44"/>
          <w:szCs w:val="44"/>
        </w:rPr>
      </w:pPr>
      <w:r w:rsidRPr="0080726C">
        <w:rPr>
          <w:color w:val="365F91" w:themeColor="accent1" w:themeShade="BF"/>
          <w:sz w:val="44"/>
          <w:szCs w:val="44"/>
        </w:rPr>
        <w:t xml:space="preserve">ІНФОРМАЦІЯ ПРО ФІСКАЛЬНІ РИЗИКИ </w:t>
      </w:r>
      <w:r w:rsidR="0021224F" w:rsidRPr="0080726C">
        <w:rPr>
          <w:color w:val="365F91" w:themeColor="accent1" w:themeShade="BF"/>
          <w:sz w:val="44"/>
          <w:szCs w:val="44"/>
        </w:rPr>
        <w:br/>
      </w:r>
      <w:r w:rsidRPr="0080726C">
        <w:rPr>
          <w:color w:val="365F91" w:themeColor="accent1" w:themeShade="BF"/>
          <w:sz w:val="44"/>
          <w:szCs w:val="44"/>
        </w:rPr>
        <w:t>ТА ЇХ ВПЛИВ</w:t>
      </w:r>
      <w:r w:rsidR="0021224F" w:rsidRPr="0080726C">
        <w:rPr>
          <w:color w:val="365F91" w:themeColor="accent1" w:themeShade="BF"/>
          <w:sz w:val="44"/>
          <w:szCs w:val="44"/>
        </w:rPr>
        <w:t xml:space="preserve"> </w:t>
      </w:r>
      <w:r w:rsidRPr="0080726C">
        <w:rPr>
          <w:color w:val="365F91" w:themeColor="accent1" w:themeShade="BF"/>
          <w:sz w:val="44"/>
          <w:szCs w:val="44"/>
        </w:rPr>
        <w:t xml:space="preserve">НА ПОКАЗНИКИ ДЕРЖАВНОГО </w:t>
      </w:r>
      <w:r w:rsidRPr="0080726C">
        <w:rPr>
          <w:color w:val="365F91" w:themeColor="accent1" w:themeShade="BF"/>
          <w:sz w:val="44"/>
          <w:szCs w:val="44"/>
        </w:rPr>
        <w:br/>
        <w:t>БЮДЖЕТУ в 2022 році</w:t>
      </w:r>
    </w:p>
    <w:p w:rsidR="00BA3238" w:rsidRPr="0021224F" w:rsidRDefault="00BA3238" w:rsidP="00BA3238">
      <w:pPr>
        <w:pStyle w:val="afff2"/>
        <w:rPr>
          <w:sz w:val="28"/>
          <w:szCs w:val="28"/>
        </w:rPr>
      </w:pPr>
    </w:p>
    <w:p w:rsidR="00BA3238" w:rsidRDefault="00BA3238" w:rsidP="0021224F">
      <w:pPr>
        <w:pStyle w:val="afff2"/>
        <w:ind w:firstLine="284"/>
        <w:jc w:val="center"/>
        <w:rPr>
          <w:color w:val="000000" w:themeColor="text1"/>
          <w:sz w:val="20"/>
        </w:rPr>
      </w:pPr>
      <w:r w:rsidRPr="007301A6">
        <w:rPr>
          <w:color w:val="000000" w:themeColor="text1"/>
          <w:sz w:val="20"/>
        </w:rPr>
        <w:t>підпункт 12</w:t>
      </w:r>
      <w:r w:rsidRPr="000562B1">
        <w:rPr>
          <w:color w:val="000000" w:themeColor="text1"/>
          <w:sz w:val="20"/>
          <w:vertAlign w:val="superscript"/>
        </w:rPr>
        <w:t>1</w:t>
      </w:r>
      <w:r w:rsidRPr="007301A6">
        <w:rPr>
          <w:color w:val="000000" w:themeColor="text1"/>
          <w:sz w:val="20"/>
        </w:rPr>
        <w:t xml:space="preserve"> пункту 1 статті 38</w:t>
      </w:r>
      <w:r>
        <w:rPr>
          <w:color w:val="000000" w:themeColor="text1"/>
          <w:sz w:val="20"/>
        </w:rPr>
        <w:t xml:space="preserve"> </w:t>
      </w:r>
      <w:r w:rsidRPr="007301A6">
        <w:rPr>
          <w:color w:val="000000" w:themeColor="text1"/>
          <w:sz w:val="20"/>
        </w:rPr>
        <w:t>бюджетного кодексу України</w:t>
      </w:r>
    </w:p>
    <w:p w:rsidR="00C04388" w:rsidRDefault="00C04388" w:rsidP="00BA3238">
      <w:pPr>
        <w:pStyle w:val="Default"/>
        <w:spacing w:line="288" w:lineRule="auto"/>
        <w:rPr>
          <w:rFonts w:ascii="Times New Roman" w:hAnsi="Times New Roman"/>
        </w:rPr>
      </w:pPr>
    </w:p>
    <w:p w:rsidR="00C04388" w:rsidRDefault="00C04388" w:rsidP="00490BA1">
      <w:pPr>
        <w:pStyle w:val="Default"/>
        <w:spacing w:line="288" w:lineRule="auto"/>
        <w:jc w:val="center"/>
        <w:rPr>
          <w:rFonts w:ascii="Times New Roman" w:hAnsi="Times New Roman"/>
        </w:rPr>
      </w:pPr>
    </w:p>
    <w:p w:rsidR="00C04388" w:rsidRDefault="00C04388" w:rsidP="00490BA1">
      <w:pPr>
        <w:pStyle w:val="Default"/>
        <w:spacing w:line="288" w:lineRule="auto"/>
        <w:jc w:val="center"/>
        <w:rPr>
          <w:rFonts w:ascii="Times New Roman" w:hAnsi="Times New Roman"/>
        </w:rPr>
      </w:pPr>
    </w:p>
    <w:p w:rsidR="00C04388" w:rsidRDefault="00C04388" w:rsidP="00490BA1">
      <w:pPr>
        <w:pStyle w:val="Default"/>
        <w:spacing w:line="288" w:lineRule="auto"/>
        <w:jc w:val="center"/>
        <w:rPr>
          <w:rFonts w:ascii="Times New Roman" w:hAnsi="Times New Roman"/>
        </w:rPr>
      </w:pPr>
    </w:p>
    <w:p w:rsidR="00C04388" w:rsidRDefault="00C04388" w:rsidP="00490BA1">
      <w:pPr>
        <w:pStyle w:val="Default"/>
        <w:spacing w:line="288" w:lineRule="auto"/>
        <w:jc w:val="center"/>
        <w:rPr>
          <w:rFonts w:ascii="Times New Roman" w:hAnsi="Times New Roman"/>
        </w:rPr>
      </w:pPr>
    </w:p>
    <w:p w:rsidR="00BA3238" w:rsidRDefault="00BA3238" w:rsidP="00490BA1">
      <w:pPr>
        <w:pStyle w:val="Default"/>
        <w:spacing w:line="288" w:lineRule="auto"/>
        <w:jc w:val="center"/>
        <w:rPr>
          <w:rFonts w:ascii="Times New Roman" w:hAnsi="Times New Roman"/>
        </w:rPr>
      </w:pPr>
    </w:p>
    <w:p w:rsidR="00BA3238" w:rsidRDefault="00BA3238" w:rsidP="00490BA1">
      <w:pPr>
        <w:pStyle w:val="Default"/>
        <w:spacing w:line="288" w:lineRule="auto"/>
        <w:jc w:val="center"/>
        <w:rPr>
          <w:rFonts w:ascii="Times New Roman" w:hAnsi="Times New Roman"/>
        </w:rPr>
      </w:pPr>
    </w:p>
    <w:p w:rsidR="00BA3238" w:rsidRDefault="00BA3238" w:rsidP="00490BA1">
      <w:pPr>
        <w:pStyle w:val="Default"/>
        <w:spacing w:line="288" w:lineRule="auto"/>
        <w:jc w:val="center"/>
        <w:rPr>
          <w:rFonts w:ascii="Times New Roman" w:hAnsi="Times New Roman"/>
        </w:rPr>
      </w:pPr>
    </w:p>
    <w:p w:rsidR="00BA3238" w:rsidRDefault="00BA3238" w:rsidP="00490BA1">
      <w:pPr>
        <w:pStyle w:val="Default"/>
        <w:spacing w:line="288" w:lineRule="auto"/>
        <w:jc w:val="center"/>
        <w:rPr>
          <w:rFonts w:ascii="Times New Roman" w:hAnsi="Times New Roman"/>
        </w:rPr>
      </w:pPr>
    </w:p>
    <w:p w:rsidR="00BA3238" w:rsidRDefault="00BA3238" w:rsidP="00490BA1">
      <w:pPr>
        <w:pStyle w:val="Default"/>
        <w:spacing w:line="288" w:lineRule="auto"/>
        <w:jc w:val="center"/>
        <w:rPr>
          <w:rFonts w:ascii="Times New Roman" w:hAnsi="Times New Roman"/>
        </w:rPr>
      </w:pPr>
    </w:p>
    <w:p w:rsidR="00BA3238" w:rsidRDefault="00BA3238" w:rsidP="00490BA1">
      <w:pPr>
        <w:pStyle w:val="Default"/>
        <w:spacing w:line="288" w:lineRule="auto"/>
        <w:jc w:val="center"/>
        <w:rPr>
          <w:rFonts w:ascii="Times New Roman" w:hAnsi="Times New Roman"/>
        </w:rPr>
      </w:pPr>
    </w:p>
    <w:p w:rsidR="00BA3238" w:rsidRDefault="00BA3238" w:rsidP="00490BA1">
      <w:pPr>
        <w:pStyle w:val="Default"/>
        <w:spacing w:line="288" w:lineRule="auto"/>
        <w:jc w:val="center"/>
        <w:rPr>
          <w:rFonts w:ascii="Times New Roman" w:hAnsi="Times New Roman"/>
        </w:rPr>
      </w:pPr>
    </w:p>
    <w:p w:rsidR="00BA3238" w:rsidRDefault="00BA3238" w:rsidP="00490BA1">
      <w:pPr>
        <w:pStyle w:val="Default"/>
        <w:spacing w:line="288" w:lineRule="auto"/>
        <w:jc w:val="center"/>
        <w:rPr>
          <w:rFonts w:ascii="Times New Roman" w:hAnsi="Times New Roman"/>
        </w:rPr>
      </w:pPr>
    </w:p>
    <w:p w:rsidR="00BA3238" w:rsidRDefault="00BA3238" w:rsidP="00490BA1">
      <w:pPr>
        <w:pStyle w:val="Default"/>
        <w:spacing w:line="288" w:lineRule="auto"/>
        <w:jc w:val="center"/>
        <w:rPr>
          <w:rFonts w:ascii="Times New Roman" w:hAnsi="Times New Roman"/>
        </w:rPr>
      </w:pPr>
    </w:p>
    <w:p w:rsidR="00BA3238" w:rsidRDefault="00BA3238" w:rsidP="00490BA1">
      <w:pPr>
        <w:pStyle w:val="Default"/>
        <w:spacing w:line="288" w:lineRule="auto"/>
        <w:jc w:val="center"/>
        <w:rPr>
          <w:rFonts w:ascii="Times New Roman" w:hAnsi="Times New Roman"/>
        </w:rPr>
      </w:pPr>
    </w:p>
    <w:p w:rsidR="00BA3238" w:rsidRDefault="00BA3238" w:rsidP="00490BA1">
      <w:pPr>
        <w:pStyle w:val="Default"/>
        <w:spacing w:line="288" w:lineRule="auto"/>
        <w:jc w:val="center"/>
        <w:rPr>
          <w:rFonts w:ascii="Times New Roman" w:hAnsi="Times New Roman"/>
        </w:rPr>
      </w:pPr>
    </w:p>
    <w:p w:rsidR="00BA3238" w:rsidRDefault="00BA3238" w:rsidP="00490BA1">
      <w:pPr>
        <w:pStyle w:val="Default"/>
        <w:spacing w:line="288" w:lineRule="auto"/>
        <w:jc w:val="center"/>
        <w:rPr>
          <w:rFonts w:ascii="Times New Roman" w:hAnsi="Times New Roman"/>
        </w:rPr>
      </w:pPr>
    </w:p>
    <w:p w:rsidR="00BA3238" w:rsidRDefault="00BA3238" w:rsidP="00490BA1">
      <w:pPr>
        <w:pStyle w:val="Default"/>
        <w:spacing w:line="288" w:lineRule="auto"/>
        <w:jc w:val="center"/>
        <w:rPr>
          <w:rFonts w:ascii="Times New Roman" w:hAnsi="Times New Roman"/>
        </w:rPr>
      </w:pPr>
    </w:p>
    <w:p w:rsidR="00BA3238" w:rsidRDefault="00BA3238" w:rsidP="00490BA1">
      <w:pPr>
        <w:pStyle w:val="Default"/>
        <w:spacing w:line="288" w:lineRule="auto"/>
        <w:jc w:val="center"/>
        <w:rPr>
          <w:rFonts w:ascii="Times New Roman" w:hAnsi="Times New Roman"/>
        </w:rPr>
      </w:pPr>
    </w:p>
    <w:p w:rsidR="00BA3238" w:rsidRDefault="00BA3238" w:rsidP="00490BA1">
      <w:pPr>
        <w:pStyle w:val="Default"/>
        <w:spacing w:line="288" w:lineRule="auto"/>
        <w:jc w:val="center"/>
        <w:rPr>
          <w:rFonts w:ascii="Times New Roman" w:hAnsi="Times New Roman"/>
        </w:rPr>
      </w:pPr>
    </w:p>
    <w:p w:rsidR="0021224F" w:rsidRDefault="0021224F" w:rsidP="005A0E1F">
      <w:pPr>
        <w:pStyle w:val="aff1"/>
        <w:jc w:val="center"/>
        <w:rPr>
          <w:rFonts w:asciiTheme="minorHAnsi" w:eastAsiaTheme="minorHAnsi" w:hAnsiTheme="minorHAnsi" w:cstheme="minorBidi"/>
          <w:color w:val="auto"/>
          <w:sz w:val="22"/>
          <w:szCs w:val="22"/>
        </w:rPr>
      </w:pPr>
    </w:p>
    <w:sdt>
      <w:sdtPr>
        <w:rPr>
          <w:rFonts w:asciiTheme="minorHAnsi" w:eastAsiaTheme="minorEastAsia" w:hAnsiTheme="minorHAnsi" w:cstheme="minorHAnsi"/>
          <w:b/>
          <w:bCs/>
          <w:color w:val="auto"/>
          <w:sz w:val="22"/>
          <w:szCs w:val="22"/>
        </w:rPr>
        <w:id w:val="-1352024641"/>
        <w:docPartObj>
          <w:docPartGallery w:val="Table of Contents"/>
          <w:docPartUnique/>
        </w:docPartObj>
      </w:sdtPr>
      <w:sdtEndPr>
        <w:rPr>
          <w:rFonts w:asciiTheme="majorHAnsi" w:hAnsiTheme="majorHAnsi"/>
        </w:rPr>
      </w:sdtEndPr>
      <w:sdtContent>
        <w:p w:rsidR="005250F1" w:rsidRPr="00D47E03" w:rsidRDefault="005250F1" w:rsidP="00D47E03">
          <w:pPr>
            <w:pStyle w:val="aff1"/>
            <w:jc w:val="center"/>
            <w:rPr>
              <w:rFonts w:cstheme="minorHAnsi"/>
              <w:b/>
              <w:sz w:val="40"/>
              <w:szCs w:val="40"/>
            </w:rPr>
          </w:pPr>
          <w:r w:rsidRPr="00D47E03">
            <w:rPr>
              <w:rFonts w:cstheme="minorHAnsi"/>
              <w:b/>
              <w:sz w:val="40"/>
              <w:szCs w:val="40"/>
            </w:rPr>
            <w:t>Зміст</w:t>
          </w:r>
        </w:p>
        <w:p w:rsidR="00E05F60" w:rsidRDefault="005250F1">
          <w:pPr>
            <w:pStyle w:val="12"/>
            <w:rPr>
              <w:rFonts w:asciiTheme="minorHAnsi" w:hAnsiTheme="minorHAnsi" w:cstheme="minorBidi"/>
              <w:b w:val="0"/>
              <w:bCs w:val="0"/>
              <w:noProof/>
              <w:lang w:eastAsia="uk-UA"/>
            </w:rPr>
          </w:pPr>
          <w:r w:rsidRPr="00AE4197">
            <w:fldChar w:fldCharType="begin"/>
          </w:r>
          <w:r w:rsidRPr="00AE4197">
            <w:instrText xml:space="preserve"> TOC \o "1-3" \h \z \u </w:instrText>
          </w:r>
          <w:r w:rsidRPr="00AE4197">
            <w:fldChar w:fldCharType="separate"/>
          </w:r>
          <w:hyperlink w:anchor="_Toc82168983" w:history="1">
            <w:r w:rsidR="00E05F60" w:rsidRPr="008046A8">
              <w:rPr>
                <w:rStyle w:val="af6"/>
                <w:noProof/>
              </w:rPr>
              <w:t>ВСТУП</w:t>
            </w:r>
            <w:r w:rsidR="00E05F60">
              <w:rPr>
                <w:noProof/>
                <w:webHidden/>
              </w:rPr>
              <w:tab/>
            </w:r>
            <w:r w:rsidR="00E05F60">
              <w:rPr>
                <w:noProof/>
                <w:webHidden/>
              </w:rPr>
              <w:fldChar w:fldCharType="begin"/>
            </w:r>
            <w:r w:rsidR="00E05F60">
              <w:rPr>
                <w:noProof/>
                <w:webHidden/>
              </w:rPr>
              <w:instrText xml:space="preserve"> PAGEREF _Toc82168983 \h </w:instrText>
            </w:r>
            <w:r w:rsidR="00E05F60">
              <w:rPr>
                <w:noProof/>
                <w:webHidden/>
              </w:rPr>
            </w:r>
            <w:r w:rsidR="00E05F60">
              <w:rPr>
                <w:noProof/>
                <w:webHidden/>
              </w:rPr>
              <w:fldChar w:fldCharType="separate"/>
            </w:r>
            <w:r w:rsidR="009A62A8">
              <w:rPr>
                <w:noProof/>
                <w:webHidden/>
              </w:rPr>
              <w:t>3</w:t>
            </w:r>
            <w:r w:rsidR="00E05F60">
              <w:rPr>
                <w:noProof/>
                <w:webHidden/>
              </w:rPr>
              <w:fldChar w:fldCharType="end"/>
            </w:r>
          </w:hyperlink>
        </w:p>
        <w:p w:rsidR="00E05F60" w:rsidRDefault="0084391E">
          <w:pPr>
            <w:pStyle w:val="12"/>
            <w:rPr>
              <w:rFonts w:asciiTheme="minorHAnsi" w:hAnsiTheme="minorHAnsi" w:cstheme="minorBidi"/>
              <w:b w:val="0"/>
              <w:bCs w:val="0"/>
              <w:noProof/>
              <w:lang w:eastAsia="uk-UA"/>
            </w:rPr>
          </w:pPr>
          <w:hyperlink w:anchor="_Toc82168984" w:history="1">
            <w:r w:rsidR="00E05F60" w:rsidRPr="008046A8">
              <w:rPr>
                <w:rStyle w:val="af6"/>
                <w:noProof/>
              </w:rPr>
              <w:t>ФІСКАЛЬНІ РИЗИКИ, ПОВ’ЯЗАНІ ІЗ ЗМІНАМИ У  МАКРОЕКОНОМІЧНОМУ СЕРЕДОВИЩІ</w:t>
            </w:r>
            <w:r w:rsidR="00E05F60">
              <w:rPr>
                <w:noProof/>
                <w:webHidden/>
              </w:rPr>
              <w:tab/>
            </w:r>
            <w:r w:rsidR="00E05F60">
              <w:rPr>
                <w:noProof/>
                <w:webHidden/>
              </w:rPr>
              <w:fldChar w:fldCharType="begin"/>
            </w:r>
            <w:r w:rsidR="00E05F60">
              <w:rPr>
                <w:noProof/>
                <w:webHidden/>
              </w:rPr>
              <w:instrText xml:space="preserve"> PAGEREF _Toc82168984 \h </w:instrText>
            </w:r>
            <w:r w:rsidR="00E05F60">
              <w:rPr>
                <w:noProof/>
                <w:webHidden/>
              </w:rPr>
            </w:r>
            <w:r w:rsidR="00E05F60">
              <w:rPr>
                <w:noProof/>
                <w:webHidden/>
              </w:rPr>
              <w:fldChar w:fldCharType="separate"/>
            </w:r>
            <w:r w:rsidR="009A62A8">
              <w:rPr>
                <w:noProof/>
                <w:webHidden/>
              </w:rPr>
              <w:t>4</w:t>
            </w:r>
            <w:r w:rsidR="00E05F60">
              <w:rPr>
                <w:noProof/>
                <w:webHidden/>
              </w:rPr>
              <w:fldChar w:fldCharType="end"/>
            </w:r>
          </w:hyperlink>
        </w:p>
        <w:p w:rsidR="00E05F60" w:rsidRDefault="0084391E">
          <w:pPr>
            <w:pStyle w:val="12"/>
            <w:rPr>
              <w:rFonts w:asciiTheme="minorHAnsi" w:hAnsiTheme="minorHAnsi" w:cstheme="minorBidi"/>
              <w:b w:val="0"/>
              <w:bCs w:val="0"/>
              <w:noProof/>
              <w:lang w:eastAsia="uk-UA"/>
            </w:rPr>
          </w:pPr>
          <w:hyperlink w:anchor="_Toc82168985" w:history="1">
            <w:r w:rsidR="00E05F60" w:rsidRPr="008046A8">
              <w:rPr>
                <w:rStyle w:val="af6"/>
                <w:noProof/>
              </w:rPr>
              <w:t>ФІСКАЛЬНІ РИЗИКИ, ПОВ’ЯЗАНІ ІЗ УПРАВЛІННЯМ ДЕРЖАВНИМ БОРГОМ ТА ГАРАНТОВАНИМ ДЕРЖАВОЮ БОРГОМ</w:t>
            </w:r>
            <w:r w:rsidR="00E05F60">
              <w:rPr>
                <w:noProof/>
                <w:webHidden/>
              </w:rPr>
              <w:tab/>
            </w:r>
            <w:r w:rsidR="00E05F60">
              <w:rPr>
                <w:noProof/>
                <w:webHidden/>
              </w:rPr>
              <w:fldChar w:fldCharType="begin"/>
            </w:r>
            <w:r w:rsidR="00E05F60">
              <w:rPr>
                <w:noProof/>
                <w:webHidden/>
              </w:rPr>
              <w:instrText xml:space="preserve"> PAGEREF _Toc82168985 \h </w:instrText>
            </w:r>
            <w:r w:rsidR="00E05F60">
              <w:rPr>
                <w:noProof/>
                <w:webHidden/>
              </w:rPr>
            </w:r>
            <w:r w:rsidR="00E05F60">
              <w:rPr>
                <w:noProof/>
                <w:webHidden/>
              </w:rPr>
              <w:fldChar w:fldCharType="separate"/>
            </w:r>
            <w:r w:rsidR="009A62A8">
              <w:rPr>
                <w:noProof/>
                <w:webHidden/>
              </w:rPr>
              <w:t>10</w:t>
            </w:r>
            <w:r w:rsidR="00E05F60">
              <w:rPr>
                <w:noProof/>
                <w:webHidden/>
              </w:rPr>
              <w:fldChar w:fldCharType="end"/>
            </w:r>
          </w:hyperlink>
        </w:p>
        <w:p w:rsidR="00E05F60" w:rsidRDefault="0084391E">
          <w:pPr>
            <w:pStyle w:val="12"/>
            <w:rPr>
              <w:rFonts w:asciiTheme="minorHAnsi" w:hAnsiTheme="minorHAnsi" w:cstheme="minorBidi"/>
              <w:b w:val="0"/>
              <w:bCs w:val="0"/>
              <w:noProof/>
              <w:lang w:eastAsia="uk-UA"/>
            </w:rPr>
          </w:pPr>
          <w:hyperlink w:anchor="_Toc82168986" w:history="1">
            <w:r w:rsidR="00E05F60" w:rsidRPr="008046A8">
              <w:rPr>
                <w:rStyle w:val="af6"/>
                <w:noProof/>
              </w:rPr>
              <w:t>ФІСКАЛЬНІ РИЗИКИ, ПОВ’ЯЗАНІ ІЗ ДІЯЛЬНІСТЮ СУБ’ЄКТІВ ГОСПОДАРЮВАННЯ ДЕРЖАВНОГО СЕКТОРУ ЕКОНОМІКИ</w:t>
            </w:r>
            <w:r w:rsidR="00E05F60">
              <w:rPr>
                <w:noProof/>
                <w:webHidden/>
              </w:rPr>
              <w:tab/>
            </w:r>
            <w:r w:rsidR="00E05F60">
              <w:rPr>
                <w:noProof/>
                <w:webHidden/>
              </w:rPr>
              <w:fldChar w:fldCharType="begin"/>
            </w:r>
            <w:r w:rsidR="00E05F60">
              <w:rPr>
                <w:noProof/>
                <w:webHidden/>
              </w:rPr>
              <w:instrText xml:space="preserve"> PAGEREF _Toc82168986 \h </w:instrText>
            </w:r>
            <w:r w:rsidR="00E05F60">
              <w:rPr>
                <w:noProof/>
                <w:webHidden/>
              </w:rPr>
            </w:r>
            <w:r w:rsidR="00E05F60">
              <w:rPr>
                <w:noProof/>
                <w:webHidden/>
              </w:rPr>
              <w:fldChar w:fldCharType="separate"/>
            </w:r>
            <w:r w:rsidR="009A62A8">
              <w:rPr>
                <w:noProof/>
                <w:webHidden/>
              </w:rPr>
              <w:t>13</w:t>
            </w:r>
            <w:r w:rsidR="00E05F60">
              <w:rPr>
                <w:noProof/>
                <w:webHidden/>
              </w:rPr>
              <w:fldChar w:fldCharType="end"/>
            </w:r>
          </w:hyperlink>
        </w:p>
        <w:p w:rsidR="00E05F60" w:rsidRDefault="0084391E">
          <w:pPr>
            <w:pStyle w:val="12"/>
            <w:rPr>
              <w:rFonts w:asciiTheme="minorHAnsi" w:hAnsiTheme="minorHAnsi" w:cstheme="minorBidi"/>
              <w:b w:val="0"/>
              <w:bCs w:val="0"/>
              <w:noProof/>
              <w:lang w:eastAsia="uk-UA"/>
            </w:rPr>
          </w:pPr>
          <w:hyperlink w:anchor="_Toc82168987" w:history="1">
            <w:r w:rsidR="00E05F60" w:rsidRPr="008046A8">
              <w:rPr>
                <w:rStyle w:val="af6"/>
                <w:noProof/>
              </w:rPr>
              <w:t>ФІСКАЛЬНІ РИЗИКИ, ПОВ’ЯЗАНІ ІЗ НЕВИКОНАННЯМ ПЛАНУ НАДХОДЖЕНЬ ВІД ПРИВАТИЗАЦІЇ ДЕРЖАВНОГО МАЙНА</w:t>
            </w:r>
            <w:r w:rsidR="00E05F60">
              <w:rPr>
                <w:noProof/>
                <w:webHidden/>
              </w:rPr>
              <w:tab/>
            </w:r>
            <w:r w:rsidR="00E05F60">
              <w:rPr>
                <w:noProof/>
                <w:webHidden/>
              </w:rPr>
              <w:fldChar w:fldCharType="begin"/>
            </w:r>
            <w:r w:rsidR="00E05F60">
              <w:rPr>
                <w:noProof/>
                <w:webHidden/>
              </w:rPr>
              <w:instrText xml:space="preserve"> PAGEREF _Toc82168987 \h </w:instrText>
            </w:r>
            <w:r w:rsidR="00E05F60">
              <w:rPr>
                <w:noProof/>
                <w:webHidden/>
              </w:rPr>
            </w:r>
            <w:r w:rsidR="00E05F60">
              <w:rPr>
                <w:noProof/>
                <w:webHidden/>
              </w:rPr>
              <w:fldChar w:fldCharType="separate"/>
            </w:r>
            <w:r w:rsidR="009A62A8">
              <w:rPr>
                <w:noProof/>
                <w:webHidden/>
              </w:rPr>
              <w:t>30</w:t>
            </w:r>
            <w:r w:rsidR="00E05F60">
              <w:rPr>
                <w:noProof/>
                <w:webHidden/>
              </w:rPr>
              <w:fldChar w:fldCharType="end"/>
            </w:r>
          </w:hyperlink>
        </w:p>
        <w:p w:rsidR="00E05F60" w:rsidRDefault="0084391E">
          <w:pPr>
            <w:pStyle w:val="12"/>
            <w:rPr>
              <w:rFonts w:asciiTheme="minorHAnsi" w:hAnsiTheme="minorHAnsi" w:cstheme="minorBidi"/>
              <w:b w:val="0"/>
              <w:bCs w:val="0"/>
              <w:noProof/>
              <w:lang w:eastAsia="uk-UA"/>
            </w:rPr>
          </w:pPr>
          <w:hyperlink w:anchor="_Toc82168988" w:history="1">
            <w:r w:rsidR="00E05F60" w:rsidRPr="008046A8">
              <w:rPr>
                <w:rStyle w:val="af6"/>
                <w:noProof/>
              </w:rPr>
              <w:t>ФІСКАЛЬНІ РИЗИКИ, ПОВ’ЯЗАНІ ІЗ СФЕРОЮ ПЕНСІЙНОГО ЗАБЕЗПЕЧЕННЯ</w:t>
            </w:r>
            <w:r w:rsidR="00E05F60">
              <w:rPr>
                <w:noProof/>
                <w:webHidden/>
              </w:rPr>
              <w:tab/>
            </w:r>
            <w:r w:rsidR="00E05F60">
              <w:rPr>
                <w:noProof/>
                <w:webHidden/>
              </w:rPr>
              <w:fldChar w:fldCharType="begin"/>
            </w:r>
            <w:r w:rsidR="00E05F60">
              <w:rPr>
                <w:noProof/>
                <w:webHidden/>
              </w:rPr>
              <w:instrText xml:space="preserve"> PAGEREF _Toc82168988 \h </w:instrText>
            </w:r>
            <w:r w:rsidR="00E05F60">
              <w:rPr>
                <w:noProof/>
                <w:webHidden/>
              </w:rPr>
            </w:r>
            <w:r w:rsidR="00E05F60">
              <w:rPr>
                <w:noProof/>
                <w:webHidden/>
              </w:rPr>
              <w:fldChar w:fldCharType="separate"/>
            </w:r>
            <w:r w:rsidR="009A62A8">
              <w:rPr>
                <w:noProof/>
                <w:webHidden/>
              </w:rPr>
              <w:t>31</w:t>
            </w:r>
            <w:r w:rsidR="00E05F60">
              <w:rPr>
                <w:noProof/>
                <w:webHidden/>
              </w:rPr>
              <w:fldChar w:fldCharType="end"/>
            </w:r>
          </w:hyperlink>
        </w:p>
        <w:p w:rsidR="00E05F60" w:rsidRDefault="0084391E">
          <w:pPr>
            <w:pStyle w:val="12"/>
            <w:rPr>
              <w:rFonts w:asciiTheme="minorHAnsi" w:hAnsiTheme="minorHAnsi" w:cstheme="minorBidi"/>
              <w:b w:val="0"/>
              <w:bCs w:val="0"/>
              <w:noProof/>
              <w:lang w:eastAsia="uk-UA"/>
            </w:rPr>
          </w:pPr>
          <w:hyperlink w:anchor="_Toc82168989" w:history="1">
            <w:r w:rsidR="00E05F60" w:rsidRPr="008046A8">
              <w:rPr>
                <w:rStyle w:val="af6"/>
                <w:noProof/>
              </w:rPr>
              <w:t>ФІСКАЛЬНІ РИЗИКИ, ПОВ’ЯЗАНІ ІЗ ФУНКЦІОНУВАННЯМ  ФІНАНСОВОГО СЕКТОРУ</w:t>
            </w:r>
            <w:r w:rsidR="00E05F60">
              <w:rPr>
                <w:noProof/>
                <w:webHidden/>
              </w:rPr>
              <w:tab/>
            </w:r>
            <w:r w:rsidR="00E05F60">
              <w:rPr>
                <w:noProof/>
                <w:webHidden/>
              </w:rPr>
              <w:fldChar w:fldCharType="begin"/>
            </w:r>
            <w:r w:rsidR="00E05F60">
              <w:rPr>
                <w:noProof/>
                <w:webHidden/>
              </w:rPr>
              <w:instrText xml:space="preserve"> PAGEREF _Toc82168989 \h </w:instrText>
            </w:r>
            <w:r w:rsidR="00E05F60">
              <w:rPr>
                <w:noProof/>
                <w:webHidden/>
              </w:rPr>
            </w:r>
            <w:r w:rsidR="00E05F60">
              <w:rPr>
                <w:noProof/>
                <w:webHidden/>
              </w:rPr>
              <w:fldChar w:fldCharType="separate"/>
            </w:r>
            <w:r w:rsidR="009A62A8">
              <w:rPr>
                <w:noProof/>
                <w:webHidden/>
              </w:rPr>
              <w:t>33</w:t>
            </w:r>
            <w:r w:rsidR="00E05F60">
              <w:rPr>
                <w:noProof/>
                <w:webHidden/>
              </w:rPr>
              <w:fldChar w:fldCharType="end"/>
            </w:r>
          </w:hyperlink>
        </w:p>
        <w:p w:rsidR="00E05F60" w:rsidRDefault="0084391E">
          <w:pPr>
            <w:pStyle w:val="12"/>
            <w:rPr>
              <w:rFonts w:asciiTheme="minorHAnsi" w:hAnsiTheme="minorHAnsi" w:cstheme="minorBidi"/>
              <w:b w:val="0"/>
              <w:bCs w:val="0"/>
              <w:noProof/>
              <w:lang w:eastAsia="uk-UA"/>
            </w:rPr>
          </w:pPr>
          <w:hyperlink w:anchor="_Toc82168990" w:history="1">
            <w:r w:rsidR="00E05F60" w:rsidRPr="008046A8">
              <w:rPr>
                <w:rStyle w:val="af6"/>
                <w:noProof/>
              </w:rPr>
              <w:t>ФІСКАЛЬНІ РИЗИКИ, ПОВ’ЯЗАНІ ІЗ РЕАЛІЗАЦІЄЮ ПРОЕКТІВ</w:t>
            </w:r>
            <w:r w:rsidR="00E05F60" w:rsidRPr="008046A8">
              <w:rPr>
                <w:rStyle w:val="af6"/>
                <w:i/>
                <w:iCs/>
                <w:noProof/>
              </w:rPr>
              <w:t xml:space="preserve">  </w:t>
            </w:r>
            <w:r w:rsidR="00E05F60" w:rsidRPr="008046A8">
              <w:rPr>
                <w:rStyle w:val="af6"/>
                <w:noProof/>
              </w:rPr>
              <w:t>ДЕРЖАВНО-ПРИВАТНОГО ПАРТНЕРСТВА</w:t>
            </w:r>
            <w:r w:rsidR="00E05F60">
              <w:rPr>
                <w:noProof/>
                <w:webHidden/>
              </w:rPr>
              <w:tab/>
            </w:r>
            <w:r w:rsidR="00E05F60">
              <w:rPr>
                <w:noProof/>
                <w:webHidden/>
              </w:rPr>
              <w:fldChar w:fldCharType="begin"/>
            </w:r>
            <w:r w:rsidR="00E05F60">
              <w:rPr>
                <w:noProof/>
                <w:webHidden/>
              </w:rPr>
              <w:instrText xml:space="preserve"> PAGEREF _Toc82168990 \h </w:instrText>
            </w:r>
            <w:r w:rsidR="00E05F60">
              <w:rPr>
                <w:noProof/>
                <w:webHidden/>
              </w:rPr>
            </w:r>
            <w:r w:rsidR="00E05F60">
              <w:rPr>
                <w:noProof/>
                <w:webHidden/>
              </w:rPr>
              <w:fldChar w:fldCharType="separate"/>
            </w:r>
            <w:r w:rsidR="009A62A8">
              <w:rPr>
                <w:noProof/>
                <w:webHidden/>
              </w:rPr>
              <w:t>34</w:t>
            </w:r>
            <w:r w:rsidR="00E05F60">
              <w:rPr>
                <w:noProof/>
                <w:webHidden/>
              </w:rPr>
              <w:fldChar w:fldCharType="end"/>
            </w:r>
          </w:hyperlink>
        </w:p>
        <w:p w:rsidR="00E05F60" w:rsidRDefault="0084391E">
          <w:pPr>
            <w:pStyle w:val="12"/>
            <w:rPr>
              <w:rFonts w:asciiTheme="minorHAnsi" w:hAnsiTheme="minorHAnsi" w:cstheme="minorBidi"/>
              <w:b w:val="0"/>
              <w:bCs w:val="0"/>
              <w:noProof/>
              <w:lang w:eastAsia="uk-UA"/>
            </w:rPr>
          </w:pPr>
          <w:hyperlink w:anchor="_Toc82168991" w:history="1">
            <w:r w:rsidR="00E05F60" w:rsidRPr="008046A8">
              <w:rPr>
                <w:rStyle w:val="af6"/>
                <w:noProof/>
              </w:rPr>
              <w:t>ФІСКАЛЬНІ РИЗИКИ, ПОВ’ЯЗАНІ ІЗ ЛІКВІДАЦІЄЮ НАСЛІДКІВ НАДЗВИЧАЙНИХ СИТУАЦІЙ ТЕХНОГЕННОГО, ПРИРОДНОГО ТА ІНШОГО ХАРАКТЕРУ</w:t>
            </w:r>
            <w:r w:rsidR="00E05F60">
              <w:rPr>
                <w:noProof/>
                <w:webHidden/>
              </w:rPr>
              <w:tab/>
            </w:r>
            <w:r w:rsidR="00E05F60">
              <w:rPr>
                <w:noProof/>
                <w:webHidden/>
              </w:rPr>
              <w:fldChar w:fldCharType="begin"/>
            </w:r>
            <w:r w:rsidR="00E05F60">
              <w:rPr>
                <w:noProof/>
                <w:webHidden/>
              </w:rPr>
              <w:instrText xml:space="preserve"> PAGEREF _Toc82168991 \h </w:instrText>
            </w:r>
            <w:r w:rsidR="00E05F60">
              <w:rPr>
                <w:noProof/>
                <w:webHidden/>
              </w:rPr>
            </w:r>
            <w:r w:rsidR="00E05F60">
              <w:rPr>
                <w:noProof/>
                <w:webHidden/>
              </w:rPr>
              <w:fldChar w:fldCharType="separate"/>
            </w:r>
            <w:r w:rsidR="009A62A8">
              <w:rPr>
                <w:noProof/>
                <w:webHidden/>
              </w:rPr>
              <w:t>35</w:t>
            </w:r>
            <w:r w:rsidR="00E05F60">
              <w:rPr>
                <w:noProof/>
                <w:webHidden/>
              </w:rPr>
              <w:fldChar w:fldCharType="end"/>
            </w:r>
          </w:hyperlink>
        </w:p>
        <w:p w:rsidR="005250F1" w:rsidRPr="00AE4197" w:rsidRDefault="005250F1" w:rsidP="00AE4197">
          <w:pPr>
            <w:pStyle w:val="12"/>
          </w:pPr>
          <w:r w:rsidRPr="00AE4197">
            <w:fldChar w:fldCharType="end"/>
          </w:r>
          <w:hyperlink w:anchor="_Toc82100029" w:history="1">
            <w:r w:rsidRPr="00AE4197">
              <w:t>ДОДАТОК 1 «ПЕРЕЛІК СУБ’ЄКТІВ ГОСПОДАРЮВАННЯ, З ЯКИМИ МОЖУТЬ БУТИ ПОВ’ЯЗАНІ НАЙБІЛЬШІ ФІСКАЛЬНІ РИЗИКИ</w:t>
            </w:r>
            <w:r w:rsidR="00C85DBB" w:rsidRPr="00AE4197">
              <w:t>»</w:t>
            </w:r>
            <w:r w:rsidR="00AE4197" w:rsidRPr="00AE4197">
              <w:t xml:space="preserve"> </w:t>
            </w:r>
          </w:hyperlink>
          <w:r w:rsidR="00AE4197" w:rsidRPr="00AE4197">
            <w:rPr>
              <w:noProof/>
            </w:rPr>
            <w:t>……………………………………………………………………………………….……3</w:t>
          </w:r>
          <w:r w:rsidR="00E05F60">
            <w:rPr>
              <w:noProof/>
            </w:rPr>
            <w:t>7</w:t>
          </w:r>
        </w:p>
      </w:sdtContent>
    </w:sdt>
    <w:p w:rsidR="00796398" w:rsidRPr="00594FDE" w:rsidRDefault="00796398" w:rsidP="00C20695">
      <w:pPr>
        <w:pStyle w:val="1"/>
        <w:pageBreakBefore/>
        <w:spacing w:before="0" w:after="240"/>
        <w:jc w:val="center"/>
        <w:rPr>
          <w:b/>
          <w:sz w:val="28"/>
        </w:rPr>
      </w:pPr>
      <w:bookmarkStart w:id="0" w:name="_Toc82168983"/>
      <w:r w:rsidRPr="00594FDE">
        <w:rPr>
          <w:b/>
          <w:sz w:val="28"/>
        </w:rPr>
        <w:t>ВСТУП</w:t>
      </w:r>
      <w:bookmarkEnd w:id="0"/>
    </w:p>
    <w:p w:rsidR="00B8517F" w:rsidRPr="00FF1822" w:rsidRDefault="00B8517F" w:rsidP="00B8517F">
      <w:pPr>
        <w:spacing w:after="0" w:line="264" w:lineRule="auto"/>
        <w:ind w:firstLine="567"/>
        <w:jc w:val="both"/>
        <w:rPr>
          <w:rFonts w:ascii="Times New Roman" w:hAnsi="Times New Roman" w:cs="Times New Roman"/>
          <w:sz w:val="24"/>
          <w:szCs w:val="24"/>
        </w:rPr>
      </w:pPr>
      <w:r w:rsidRPr="00FF1822">
        <w:rPr>
          <w:rFonts w:ascii="Times New Roman" w:hAnsi="Times New Roman" w:cs="Times New Roman"/>
          <w:sz w:val="24"/>
          <w:szCs w:val="24"/>
        </w:rPr>
        <w:t>Фіскальними ризиками є чинники, які можуть призводити до відхилення доходів, видатків, дефіциту державного бюджету та державного боргу від запланованих показників.</w:t>
      </w:r>
    </w:p>
    <w:p w:rsidR="00B8517F" w:rsidRPr="000B0D73" w:rsidRDefault="00B8517F" w:rsidP="00B8517F">
      <w:pPr>
        <w:tabs>
          <w:tab w:val="left" w:pos="993"/>
        </w:tabs>
        <w:spacing w:after="0" w:line="264" w:lineRule="auto"/>
        <w:ind w:firstLine="567"/>
        <w:jc w:val="both"/>
        <w:rPr>
          <w:rFonts w:ascii="Times New Roman" w:hAnsi="Times New Roman" w:cs="Times New Roman"/>
          <w:sz w:val="24"/>
          <w:szCs w:val="24"/>
        </w:rPr>
      </w:pPr>
      <w:r w:rsidRPr="000B0D73">
        <w:rPr>
          <w:rFonts w:ascii="Times New Roman" w:hAnsi="Times New Roman" w:cs="Times New Roman"/>
          <w:sz w:val="24"/>
          <w:szCs w:val="24"/>
        </w:rPr>
        <w:t xml:space="preserve">Повне представлення інформації про </w:t>
      </w:r>
      <w:r w:rsidRPr="00B8517F">
        <w:rPr>
          <w:rFonts w:ascii="Times New Roman" w:hAnsi="Times New Roman" w:cs="Times New Roman"/>
          <w:sz w:val="24"/>
          <w:szCs w:val="24"/>
        </w:rPr>
        <w:t xml:space="preserve">наявні фіскальні ризики у сфері державних фінансів підвищує ступінь обґрунтованості рішень під час проведення бюджетної політики і створює підґрунтя для вжиття адекватних заходів, спрямованих на мінімізацію можливого негативного впливу на бюджетні показники та забезпечення повного </w:t>
      </w:r>
      <w:r>
        <w:rPr>
          <w:rFonts w:ascii="Times New Roman" w:hAnsi="Times New Roman" w:cs="Times New Roman"/>
          <w:sz w:val="24"/>
          <w:szCs w:val="24"/>
        </w:rPr>
        <w:t>і вчасного фінансування основних зобов’язань держави</w:t>
      </w:r>
      <w:r w:rsidRPr="000B0D73">
        <w:rPr>
          <w:rFonts w:ascii="Times New Roman" w:hAnsi="Times New Roman" w:cs="Times New Roman"/>
          <w:sz w:val="24"/>
          <w:szCs w:val="24"/>
        </w:rPr>
        <w:t xml:space="preserve">. </w:t>
      </w:r>
    </w:p>
    <w:p w:rsidR="00B8517F" w:rsidRPr="00E122D3" w:rsidRDefault="00B8517F" w:rsidP="00B8517F">
      <w:pPr>
        <w:spacing w:after="0" w:line="264" w:lineRule="auto"/>
        <w:ind w:firstLine="567"/>
        <w:jc w:val="both"/>
        <w:rPr>
          <w:rFonts w:ascii="Times New Roman" w:hAnsi="Times New Roman" w:cs="Times New Roman"/>
          <w:color w:val="000000" w:themeColor="text1"/>
          <w:sz w:val="24"/>
          <w:szCs w:val="24"/>
        </w:rPr>
      </w:pPr>
      <w:r w:rsidRPr="00E122D3">
        <w:rPr>
          <w:rFonts w:ascii="Times New Roman" w:hAnsi="Times New Roman" w:cs="Times New Roman"/>
          <w:color w:val="000000" w:themeColor="text1"/>
          <w:sz w:val="24"/>
          <w:szCs w:val="24"/>
        </w:rPr>
        <w:t>У цьому документі, підготовленому відповідно до вимог підпункту 12</w:t>
      </w:r>
      <w:r w:rsidRPr="00E122D3">
        <w:rPr>
          <w:rFonts w:ascii="Times New Roman" w:hAnsi="Times New Roman" w:cs="Times New Roman"/>
          <w:color w:val="000000" w:themeColor="text1"/>
          <w:sz w:val="24"/>
          <w:szCs w:val="24"/>
          <w:vertAlign w:val="superscript"/>
        </w:rPr>
        <w:t>1</w:t>
      </w:r>
      <w:r w:rsidRPr="00E122D3">
        <w:rPr>
          <w:rFonts w:ascii="Times New Roman" w:hAnsi="Times New Roman" w:cs="Times New Roman"/>
          <w:color w:val="000000" w:themeColor="text1"/>
          <w:sz w:val="24"/>
          <w:szCs w:val="24"/>
        </w:rPr>
        <w:t xml:space="preserve"> пункту 1 </w:t>
      </w:r>
      <w:r w:rsidRPr="00E122D3">
        <w:rPr>
          <w:rFonts w:ascii="Times New Roman" w:hAnsi="Times New Roman" w:cs="Times New Roman"/>
          <w:color w:val="000000" w:themeColor="text1"/>
          <w:sz w:val="24"/>
          <w:szCs w:val="24"/>
        </w:rPr>
        <w:br/>
        <w:t>статті 38 Бюджетного кодексу України, зазначається про фіскальні ризики, до яких можуть бути чутливими державні фінанси в Україні у 202</w:t>
      </w:r>
      <w:r>
        <w:rPr>
          <w:rFonts w:ascii="Times New Roman" w:hAnsi="Times New Roman" w:cs="Times New Roman"/>
          <w:color w:val="000000" w:themeColor="text1"/>
          <w:sz w:val="24"/>
          <w:szCs w:val="24"/>
        </w:rPr>
        <w:t>2</w:t>
      </w:r>
      <w:r w:rsidRPr="00E122D3">
        <w:rPr>
          <w:rFonts w:ascii="Times New Roman" w:hAnsi="Times New Roman" w:cs="Times New Roman"/>
          <w:color w:val="000000" w:themeColor="text1"/>
          <w:sz w:val="24"/>
          <w:szCs w:val="24"/>
        </w:rPr>
        <w:t xml:space="preserve"> році, та наводяться рекомендації щодо заходів, яких слід вживати органам державної влади та іншим інституціям з метою мінімізації впливу таких ризиків на бюджетні показники. </w:t>
      </w:r>
    </w:p>
    <w:p w:rsidR="00B8517F" w:rsidRPr="002F249E" w:rsidRDefault="00B8517F" w:rsidP="00B8517F">
      <w:pPr>
        <w:tabs>
          <w:tab w:val="left" w:pos="993"/>
        </w:tabs>
        <w:spacing w:after="0" w:line="264" w:lineRule="auto"/>
        <w:ind w:firstLine="567"/>
        <w:jc w:val="center"/>
        <w:rPr>
          <w:rFonts w:ascii="Times New Roman" w:hAnsi="Times New Roman" w:cs="Times New Roman"/>
          <w:color w:val="000000" w:themeColor="text1"/>
          <w:sz w:val="24"/>
          <w:szCs w:val="24"/>
        </w:rPr>
      </w:pPr>
    </w:p>
    <w:p w:rsidR="00B8517F" w:rsidRDefault="00B8517F" w:rsidP="00B8517F">
      <w:pPr>
        <w:tabs>
          <w:tab w:val="left" w:pos="993"/>
        </w:tabs>
        <w:spacing w:after="0" w:line="264" w:lineRule="auto"/>
        <w:jc w:val="center"/>
        <w:rPr>
          <w:rFonts w:ascii="Times New Roman" w:hAnsi="Times New Roman" w:cs="Times New Roman"/>
          <w:b/>
          <w:color w:val="000000" w:themeColor="text1"/>
          <w:sz w:val="24"/>
          <w:szCs w:val="24"/>
        </w:rPr>
      </w:pPr>
      <w:r w:rsidRPr="002F249E">
        <w:rPr>
          <w:rFonts w:ascii="Times New Roman" w:hAnsi="Times New Roman" w:cs="Times New Roman"/>
          <w:b/>
          <w:color w:val="000000" w:themeColor="text1"/>
          <w:sz w:val="24"/>
          <w:szCs w:val="24"/>
        </w:rPr>
        <w:t>Матриця оцінки фіскальних ризиків за джерелами їх виникнення у 2022 році</w:t>
      </w:r>
    </w:p>
    <w:p w:rsidR="00B8517F" w:rsidRPr="002F249E" w:rsidRDefault="00B8517F" w:rsidP="00B8517F">
      <w:pPr>
        <w:tabs>
          <w:tab w:val="left" w:pos="993"/>
        </w:tabs>
        <w:spacing w:after="0" w:line="240" w:lineRule="auto"/>
        <w:jc w:val="center"/>
        <w:rPr>
          <w:rFonts w:ascii="Times New Roman" w:hAnsi="Times New Roman" w:cs="Times New Roman"/>
          <w:b/>
          <w:color w:val="000000" w:themeColor="text1"/>
          <w:sz w:val="24"/>
          <w:szCs w:val="24"/>
        </w:rPr>
      </w:pPr>
    </w:p>
    <w:tbl>
      <w:tblPr>
        <w:tblStyle w:val="a3"/>
        <w:tblW w:w="9918" w:type="dxa"/>
        <w:tblLook w:val="04A0" w:firstRow="1" w:lastRow="0" w:firstColumn="1" w:lastColumn="0" w:noHBand="0" w:noVBand="1"/>
      </w:tblPr>
      <w:tblGrid>
        <w:gridCol w:w="690"/>
        <w:gridCol w:w="774"/>
        <w:gridCol w:w="2642"/>
        <w:gridCol w:w="2977"/>
        <w:gridCol w:w="2835"/>
      </w:tblGrid>
      <w:tr w:rsidR="00B8517F" w:rsidTr="00FE1030">
        <w:trPr>
          <w:cantSplit/>
          <w:trHeight w:val="1545"/>
        </w:trPr>
        <w:tc>
          <w:tcPr>
            <w:tcW w:w="690" w:type="dxa"/>
            <w:vMerge w:val="restart"/>
            <w:textDirection w:val="btLr"/>
          </w:tcPr>
          <w:p w:rsidR="00B8517F" w:rsidRPr="0051397A" w:rsidRDefault="00B8517F" w:rsidP="00FE1030">
            <w:pPr>
              <w:ind w:left="113" w:right="113"/>
              <w:jc w:val="center"/>
              <w:rPr>
                <w:rFonts w:ascii="Times New Roman" w:hAnsi="Times New Roman" w:cs="Times New Roman"/>
                <w:b/>
                <w:sz w:val="24"/>
                <w:szCs w:val="24"/>
              </w:rPr>
            </w:pPr>
            <w:r w:rsidRPr="0051397A">
              <w:rPr>
                <w:rFonts w:ascii="Times New Roman" w:hAnsi="Times New Roman" w:cs="Times New Roman"/>
                <w:b/>
                <w:sz w:val="24"/>
                <w:szCs w:val="24"/>
              </w:rPr>
              <w:t>ПОТЕНЦІЙНИЙ ФІСКАЛЬНИЙ ВПЛИВ</w:t>
            </w:r>
          </w:p>
        </w:tc>
        <w:tc>
          <w:tcPr>
            <w:tcW w:w="774" w:type="dxa"/>
            <w:textDirection w:val="btLr"/>
          </w:tcPr>
          <w:p w:rsidR="00B8517F" w:rsidRDefault="00B8517F" w:rsidP="00FE1030">
            <w:pPr>
              <w:ind w:left="113" w:right="113"/>
              <w:jc w:val="center"/>
              <w:rPr>
                <w:rFonts w:ascii="Times New Roman" w:hAnsi="Times New Roman" w:cs="Times New Roman"/>
                <w:b/>
                <w:i/>
                <w:sz w:val="24"/>
                <w:szCs w:val="24"/>
              </w:rPr>
            </w:pPr>
            <w:r w:rsidRPr="0051397A">
              <w:rPr>
                <w:rFonts w:ascii="Times New Roman" w:hAnsi="Times New Roman" w:cs="Times New Roman"/>
                <w:b/>
                <w:i/>
                <w:sz w:val="24"/>
                <w:szCs w:val="24"/>
              </w:rPr>
              <w:t>Високий</w:t>
            </w:r>
          </w:p>
          <w:p w:rsidR="00B8517F" w:rsidRPr="00CC7A22" w:rsidRDefault="00B8517F" w:rsidP="00FE1030">
            <w:pPr>
              <w:ind w:left="113" w:right="113"/>
              <w:jc w:val="center"/>
              <w:rPr>
                <w:rFonts w:ascii="Times New Roman" w:hAnsi="Times New Roman" w:cs="Times New Roman"/>
                <w:i/>
                <w:sz w:val="24"/>
                <w:szCs w:val="24"/>
              </w:rPr>
            </w:pPr>
            <w:r w:rsidRPr="00CC7A22">
              <w:rPr>
                <w:rFonts w:ascii="Times New Roman" w:hAnsi="Times New Roman" w:cs="Times New Roman"/>
                <w:i/>
                <w:sz w:val="24"/>
                <w:szCs w:val="24"/>
              </w:rPr>
              <w:t>(</w:t>
            </w:r>
            <w:r w:rsidRPr="00CC7A22">
              <w:rPr>
                <w:rFonts w:ascii="Times New Roman" w:hAnsi="Times New Roman" w:cs="Times New Roman"/>
                <w:i/>
                <w:sz w:val="24"/>
                <w:szCs w:val="24"/>
                <w:lang w:val="en-US"/>
              </w:rPr>
              <w:t>&gt;0,5%</w:t>
            </w:r>
            <w:r w:rsidRPr="00CC7A22">
              <w:rPr>
                <w:rFonts w:ascii="Times New Roman" w:hAnsi="Times New Roman" w:cs="Times New Roman"/>
                <w:i/>
                <w:sz w:val="24"/>
                <w:szCs w:val="24"/>
              </w:rPr>
              <w:t>ВВП)</w:t>
            </w:r>
          </w:p>
        </w:tc>
        <w:tc>
          <w:tcPr>
            <w:tcW w:w="2642" w:type="dxa"/>
            <w:tcBorders>
              <w:bottom w:val="single" w:sz="4" w:space="0" w:color="auto"/>
            </w:tcBorders>
          </w:tcPr>
          <w:p w:rsidR="00B8517F" w:rsidRPr="00E74332" w:rsidRDefault="00B8517F" w:rsidP="00FE1030">
            <w:pPr>
              <w:rPr>
                <w:rFonts w:ascii="Times New Roman" w:hAnsi="Times New Roman" w:cs="Times New Roman"/>
                <w:sz w:val="24"/>
                <w:szCs w:val="24"/>
              </w:rPr>
            </w:pPr>
          </w:p>
        </w:tc>
        <w:tc>
          <w:tcPr>
            <w:tcW w:w="2977" w:type="dxa"/>
            <w:tcBorders>
              <w:bottom w:val="single" w:sz="4" w:space="0" w:color="auto"/>
            </w:tcBorders>
            <w:shd w:val="clear" w:color="auto" w:fill="auto"/>
            <w:vAlign w:val="center"/>
          </w:tcPr>
          <w:p w:rsidR="00B8517F" w:rsidRPr="00EF1E9C" w:rsidRDefault="00B8517F" w:rsidP="00FE1030">
            <w:pPr>
              <w:jc w:val="center"/>
              <w:rPr>
                <w:rFonts w:ascii="Times New Roman" w:hAnsi="Times New Roman" w:cs="Times New Roman"/>
                <w:sz w:val="24"/>
                <w:szCs w:val="24"/>
                <w:lang w:val="en-US"/>
              </w:rPr>
            </w:pPr>
          </w:p>
        </w:tc>
        <w:tc>
          <w:tcPr>
            <w:tcW w:w="2835" w:type="dxa"/>
            <w:tcBorders>
              <w:bottom w:val="single" w:sz="4" w:space="0" w:color="auto"/>
            </w:tcBorders>
            <w:shd w:val="clear" w:color="auto" w:fill="FF5050"/>
            <w:vAlign w:val="center"/>
          </w:tcPr>
          <w:p w:rsidR="00B8517F" w:rsidRPr="003C5523" w:rsidRDefault="00B8517F" w:rsidP="00FE1030">
            <w:pPr>
              <w:jc w:val="center"/>
              <w:rPr>
                <w:rFonts w:ascii="Times New Roman" w:hAnsi="Times New Roman" w:cs="Times New Roman"/>
                <w:sz w:val="24"/>
                <w:szCs w:val="24"/>
              </w:rPr>
            </w:pPr>
            <w:r>
              <w:rPr>
                <w:rFonts w:ascii="Times New Roman" w:hAnsi="Times New Roman" w:cs="Times New Roman"/>
                <w:sz w:val="24"/>
                <w:szCs w:val="24"/>
              </w:rPr>
              <w:t xml:space="preserve">Діяльність </w:t>
            </w:r>
            <w:proofErr w:type="spellStart"/>
            <w:r>
              <w:rPr>
                <w:rFonts w:ascii="Times New Roman" w:hAnsi="Times New Roman" w:cs="Times New Roman"/>
                <w:sz w:val="24"/>
                <w:szCs w:val="24"/>
              </w:rPr>
              <w:t>суб</w:t>
            </w:r>
            <w:proofErr w:type="spellEnd"/>
            <w:r w:rsidRPr="003C5523">
              <w:rPr>
                <w:rFonts w:ascii="Times New Roman" w:hAnsi="Times New Roman" w:cs="Times New Roman"/>
                <w:sz w:val="24"/>
                <w:szCs w:val="24"/>
                <w:lang w:val="ru-RU"/>
              </w:rPr>
              <w:t>’</w:t>
            </w:r>
            <w:proofErr w:type="spellStart"/>
            <w:r>
              <w:rPr>
                <w:rFonts w:ascii="Times New Roman" w:hAnsi="Times New Roman" w:cs="Times New Roman"/>
                <w:sz w:val="24"/>
                <w:szCs w:val="24"/>
              </w:rPr>
              <w:t>єктів</w:t>
            </w:r>
            <w:proofErr w:type="spellEnd"/>
            <w:r>
              <w:rPr>
                <w:rFonts w:ascii="Times New Roman" w:hAnsi="Times New Roman" w:cs="Times New Roman"/>
                <w:sz w:val="24"/>
                <w:szCs w:val="24"/>
              </w:rPr>
              <w:t xml:space="preserve"> господарювання державного сектору економіки</w:t>
            </w:r>
          </w:p>
        </w:tc>
      </w:tr>
      <w:tr w:rsidR="00B8517F" w:rsidTr="00FE1030">
        <w:trPr>
          <w:cantSplit/>
          <w:trHeight w:val="2253"/>
        </w:trPr>
        <w:tc>
          <w:tcPr>
            <w:tcW w:w="690" w:type="dxa"/>
            <w:vMerge/>
          </w:tcPr>
          <w:p w:rsidR="00B8517F" w:rsidRDefault="00B8517F" w:rsidP="00FE1030"/>
        </w:tc>
        <w:tc>
          <w:tcPr>
            <w:tcW w:w="774" w:type="dxa"/>
            <w:textDirection w:val="btLr"/>
          </w:tcPr>
          <w:p w:rsidR="00B8517F" w:rsidRPr="00CC7A22" w:rsidRDefault="00B8517F" w:rsidP="00FE1030">
            <w:pPr>
              <w:ind w:left="113" w:right="113"/>
              <w:jc w:val="center"/>
              <w:rPr>
                <w:rFonts w:ascii="Times New Roman" w:hAnsi="Times New Roman" w:cs="Times New Roman"/>
                <w:i/>
                <w:sz w:val="24"/>
                <w:szCs w:val="24"/>
              </w:rPr>
            </w:pPr>
            <w:r w:rsidRPr="0051397A">
              <w:rPr>
                <w:rFonts w:ascii="Times New Roman" w:hAnsi="Times New Roman" w:cs="Times New Roman"/>
                <w:b/>
                <w:i/>
                <w:sz w:val="24"/>
                <w:szCs w:val="24"/>
              </w:rPr>
              <w:t>Середній</w:t>
            </w:r>
            <w:r>
              <w:rPr>
                <w:rFonts w:ascii="Times New Roman" w:hAnsi="Times New Roman" w:cs="Times New Roman"/>
                <w:b/>
                <w:i/>
                <w:sz w:val="24"/>
                <w:szCs w:val="24"/>
              </w:rPr>
              <w:t xml:space="preserve"> </w:t>
            </w:r>
            <w:r>
              <w:rPr>
                <w:rFonts w:ascii="Times New Roman" w:hAnsi="Times New Roman" w:cs="Times New Roman"/>
                <w:b/>
                <w:i/>
                <w:sz w:val="24"/>
                <w:szCs w:val="24"/>
              </w:rPr>
              <w:br/>
            </w:r>
            <w:r w:rsidRPr="00CC7A22">
              <w:rPr>
                <w:rFonts w:ascii="Times New Roman" w:hAnsi="Times New Roman" w:cs="Times New Roman"/>
                <w:i/>
                <w:sz w:val="24"/>
                <w:szCs w:val="24"/>
              </w:rPr>
              <w:t>(0,1%-0,5% ВВП)</w:t>
            </w:r>
          </w:p>
          <w:p w:rsidR="00B8517F" w:rsidRPr="0051397A" w:rsidRDefault="00B8517F" w:rsidP="00FE1030">
            <w:pPr>
              <w:ind w:left="113" w:right="113"/>
              <w:jc w:val="center"/>
              <w:rPr>
                <w:rFonts w:ascii="Times New Roman" w:hAnsi="Times New Roman" w:cs="Times New Roman"/>
                <w:b/>
                <w:i/>
                <w:sz w:val="24"/>
                <w:szCs w:val="24"/>
              </w:rPr>
            </w:pPr>
          </w:p>
        </w:tc>
        <w:tc>
          <w:tcPr>
            <w:tcW w:w="2642" w:type="dxa"/>
            <w:shd w:val="clear" w:color="auto" w:fill="auto"/>
            <w:vAlign w:val="center"/>
          </w:tcPr>
          <w:p w:rsidR="00B8517F" w:rsidRPr="00E74332" w:rsidRDefault="00B8517F" w:rsidP="00FE1030">
            <w:pPr>
              <w:jc w:val="center"/>
              <w:rPr>
                <w:rFonts w:ascii="Times New Roman" w:hAnsi="Times New Roman" w:cs="Times New Roman"/>
                <w:sz w:val="24"/>
                <w:szCs w:val="24"/>
              </w:rPr>
            </w:pPr>
          </w:p>
        </w:tc>
        <w:tc>
          <w:tcPr>
            <w:tcW w:w="2977" w:type="dxa"/>
            <w:shd w:val="clear" w:color="auto" w:fill="FFFF66"/>
            <w:vAlign w:val="center"/>
          </w:tcPr>
          <w:p w:rsidR="00B8517F" w:rsidRDefault="00B8517F" w:rsidP="00FE1030">
            <w:pPr>
              <w:jc w:val="center"/>
              <w:rPr>
                <w:rFonts w:ascii="Times New Roman" w:hAnsi="Times New Roman" w:cs="Times New Roman"/>
                <w:sz w:val="24"/>
                <w:szCs w:val="24"/>
              </w:rPr>
            </w:pPr>
            <w:r>
              <w:rPr>
                <w:rFonts w:ascii="Times New Roman" w:hAnsi="Times New Roman" w:cs="Times New Roman"/>
                <w:sz w:val="24"/>
                <w:szCs w:val="24"/>
              </w:rPr>
              <w:t>Макроекономічне середовище</w:t>
            </w:r>
          </w:p>
          <w:p w:rsidR="00B8517F" w:rsidRDefault="00B8517F" w:rsidP="00FE1030">
            <w:pPr>
              <w:jc w:val="center"/>
              <w:rPr>
                <w:rFonts w:ascii="Times New Roman" w:hAnsi="Times New Roman" w:cs="Times New Roman"/>
                <w:sz w:val="24"/>
                <w:szCs w:val="24"/>
              </w:rPr>
            </w:pPr>
          </w:p>
          <w:p w:rsidR="00B8517F" w:rsidRPr="00E74332" w:rsidRDefault="00B8517F" w:rsidP="00FE1030">
            <w:pPr>
              <w:jc w:val="center"/>
              <w:rPr>
                <w:rFonts w:ascii="Times New Roman" w:hAnsi="Times New Roman" w:cs="Times New Roman"/>
                <w:sz w:val="24"/>
                <w:szCs w:val="24"/>
              </w:rPr>
            </w:pPr>
            <w:r w:rsidRPr="002F249E">
              <w:rPr>
                <w:rFonts w:ascii="Times New Roman" w:hAnsi="Times New Roman" w:cs="Times New Roman"/>
                <w:sz w:val="24"/>
                <w:szCs w:val="24"/>
              </w:rPr>
              <w:t xml:space="preserve">Управління </w:t>
            </w:r>
            <w:r>
              <w:rPr>
                <w:rFonts w:ascii="Times New Roman" w:hAnsi="Times New Roman" w:cs="Times New Roman"/>
                <w:sz w:val="24"/>
                <w:szCs w:val="24"/>
              </w:rPr>
              <w:t>де</w:t>
            </w:r>
            <w:r w:rsidRPr="002F249E">
              <w:rPr>
                <w:rFonts w:ascii="Times New Roman" w:hAnsi="Times New Roman" w:cs="Times New Roman"/>
                <w:sz w:val="24"/>
                <w:szCs w:val="24"/>
              </w:rPr>
              <w:t>ржавним боргом та гарантованим державою боргом</w:t>
            </w:r>
          </w:p>
        </w:tc>
        <w:tc>
          <w:tcPr>
            <w:tcW w:w="2835" w:type="dxa"/>
            <w:shd w:val="clear" w:color="auto" w:fill="FFFF66"/>
            <w:vAlign w:val="center"/>
          </w:tcPr>
          <w:p w:rsidR="00B8517F" w:rsidRDefault="00B8517F" w:rsidP="00FE1030">
            <w:pPr>
              <w:jc w:val="center"/>
              <w:rPr>
                <w:rFonts w:ascii="Times New Roman" w:hAnsi="Times New Roman" w:cs="Times New Roman"/>
                <w:sz w:val="24"/>
                <w:szCs w:val="24"/>
              </w:rPr>
            </w:pPr>
            <w:r>
              <w:rPr>
                <w:rFonts w:ascii="Times New Roman" w:hAnsi="Times New Roman" w:cs="Times New Roman"/>
                <w:sz w:val="24"/>
                <w:szCs w:val="24"/>
              </w:rPr>
              <w:t>Фінансовий сектор</w:t>
            </w:r>
          </w:p>
          <w:p w:rsidR="00B8517F" w:rsidRDefault="00B8517F" w:rsidP="00FE1030">
            <w:pPr>
              <w:jc w:val="center"/>
              <w:rPr>
                <w:rFonts w:ascii="Times New Roman" w:hAnsi="Times New Roman" w:cs="Times New Roman"/>
                <w:sz w:val="24"/>
                <w:szCs w:val="24"/>
              </w:rPr>
            </w:pPr>
          </w:p>
          <w:p w:rsidR="00B8517F" w:rsidRDefault="00B8517F" w:rsidP="00FE1030">
            <w:pPr>
              <w:jc w:val="center"/>
              <w:rPr>
                <w:rFonts w:ascii="Times New Roman" w:hAnsi="Times New Roman" w:cs="Times New Roman"/>
                <w:sz w:val="24"/>
                <w:szCs w:val="24"/>
              </w:rPr>
            </w:pPr>
            <w:r>
              <w:rPr>
                <w:rFonts w:ascii="Times New Roman" w:hAnsi="Times New Roman" w:cs="Times New Roman"/>
                <w:sz w:val="24"/>
                <w:szCs w:val="24"/>
              </w:rPr>
              <w:t>Невиконання плану надходжень від приватизації державного майна</w:t>
            </w:r>
          </w:p>
          <w:p w:rsidR="00B8517F" w:rsidRDefault="00B8517F" w:rsidP="00FE1030">
            <w:pPr>
              <w:jc w:val="center"/>
              <w:rPr>
                <w:rFonts w:ascii="Times New Roman" w:hAnsi="Times New Roman" w:cs="Times New Roman"/>
                <w:sz w:val="24"/>
                <w:szCs w:val="24"/>
              </w:rPr>
            </w:pPr>
          </w:p>
          <w:p w:rsidR="00B8517F" w:rsidRPr="00E74332" w:rsidRDefault="00B8517F" w:rsidP="00FE1030">
            <w:pPr>
              <w:jc w:val="center"/>
              <w:rPr>
                <w:rFonts w:ascii="Times New Roman" w:hAnsi="Times New Roman" w:cs="Times New Roman"/>
                <w:sz w:val="24"/>
                <w:szCs w:val="24"/>
              </w:rPr>
            </w:pPr>
            <w:r>
              <w:rPr>
                <w:rFonts w:ascii="Times New Roman" w:hAnsi="Times New Roman" w:cs="Times New Roman"/>
                <w:sz w:val="24"/>
                <w:szCs w:val="24"/>
              </w:rPr>
              <w:t>Сфера пенсійного забезпечення</w:t>
            </w:r>
          </w:p>
        </w:tc>
      </w:tr>
      <w:tr w:rsidR="00B8517F" w:rsidTr="00FE1030">
        <w:trPr>
          <w:cantSplit/>
          <w:trHeight w:val="1757"/>
        </w:trPr>
        <w:tc>
          <w:tcPr>
            <w:tcW w:w="690" w:type="dxa"/>
            <w:vMerge/>
            <w:tcBorders>
              <w:bottom w:val="single" w:sz="4" w:space="0" w:color="auto"/>
            </w:tcBorders>
          </w:tcPr>
          <w:p w:rsidR="00B8517F" w:rsidRDefault="00B8517F" w:rsidP="00FE1030"/>
        </w:tc>
        <w:tc>
          <w:tcPr>
            <w:tcW w:w="774" w:type="dxa"/>
            <w:tcBorders>
              <w:bottom w:val="single" w:sz="4" w:space="0" w:color="auto"/>
            </w:tcBorders>
            <w:textDirection w:val="btLr"/>
          </w:tcPr>
          <w:p w:rsidR="00B8517F" w:rsidRPr="00C326DA" w:rsidRDefault="00B8517F" w:rsidP="00FE1030">
            <w:pPr>
              <w:ind w:left="113" w:right="113"/>
              <w:jc w:val="center"/>
              <w:rPr>
                <w:rFonts w:ascii="Times New Roman" w:hAnsi="Times New Roman" w:cs="Times New Roman"/>
                <w:b/>
                <w:i/>
                <w:sz w:val="24"/>
                <w:szCs w:val="24"/>
              </w:rPr>
            </w:pPr>
            <w:r w:rsidRPr="0051397A">
              <w:rPr>
                <w:rFonts w:ascii="Times New Roman" w:hAnsi="Times New Roman" w:cs="Times New Roman"/>
                <w:b/>
                <w:i/>
                <w:sz w:val="24"/>
                <w:szCs w:val="24"/>
              </w:rPr>
              <w:t>Низький</w:t>
            </w:r>
            <w:r>
              <w:rPr>
                <w:rFonts w:ascii="Times New Roman" w:hAnsi="Times New Roman" w:cs="Times New Roman"/>
                <w:b/>
                <w:i/>
                <w:sz w:val="24"/>
                <w:szCs w:val="24"/>
              </w:rPr>
              <w:t xml:space="preserve"> </w:t>
            </w:r>
            <w:r>
              <w:rPr>
                <w:rFonts w:ascii="Times New Roman" w:hAnsi="Times New Roman" w:cs="Times New Roman"/>
                <w:b/>
                <w:i/>
                <w:sz w:val="24"/>
                <w:szCs w:val="24"/>
              </w:rPr>
              <w:br/>
            </w:r>
            <w:r w:rsidRPr="00CC7A22">
              <w:rPr>
                <w:rFonts w:ascii="Times New Roman" w:hAnsi="Times New Roman" w:cs="Times New Roman"/>
                <w:i/>
                <w:sz w:val="24"/>
                <w:szCs w:val="24"/>
              </w:rPr>
              <w:t>(</w:t>
            </w:r>
            <w:r w:rsidRPr="00CC7A22">
              <w:rPr>
                <w:rFonts w:ascii="Times New Roman" w:hAnsi="Times New Roman" w:cs="Times New Roman"/>
                <w:i/>
                <w:sz w:val="24"/>
                <w:szCs w:val="24"/>
                <w:lang w:val="ru-RU"/>
              </w:rPr>
              <w:t>&lt;0,1</w:t>
            </w:r>
            <w:r>
              <w:rPr>
                <w:rFonts w:ascii="Times New Roman" w:hAnsi="Times New Roman" w:cs="Times New Roman"/>
                <w:i/>
                <w:sz w:val="24"/>
                <w:szCs w:val="24"/>
                <w:lang w:val="ru-RU"/>
              </w:rPr>
              <w:t>%</w:t>
            </w:r>
            <w:r w:rsidRPr="00CC7A22">
              <w:rPr>
                <w:rFonts w:ascii="Times New Roman" w:hAnsi="Times New Roman" w:cs="Times New Roman"/>
                <w:i/>
                <w:sz w:val="24"/>
                <w:szCs w:val="24"/>
                <w:lang w:val="ru-RU"/>
              </w:rPr>
              <w:t xml:space="preserve"> </w:t>
            </w:r>
            <w:r w:rsidRPr="00CC7A22">
              <w:rPr>
                <w:rFonts w:ascii="Times New Roman" w:hAnsi="Times New Roman" w:cs="Times New Roman"/>
                <w:i/>
                <w:sz w:val="24"/>
                <w:szCs w:val="24"/>
              </w:rPr>
              <w:t>ВВП)</w:t>
            </w:r>
          </w:p>
        </w:tc>
        <w:tc>
          <w:tcPr>
            <w:tcW w:w="2642" w:type="dxa"/>
            <w:shd w:val="clear" w:color="auto" w:fill="92D050"/>
          </w:tcPr>
          <w:p w:rsidR="00B8517F" w:rsidRDefault="00B8517F" w:rsidP="00FE1030">
            <w:pPr>
              <w:jc w:val="center"/>
              <w:rPr>
                <w:rFonts w:ascii="Times New Roman" w:hAnsi="Times New Roman" w:cs="Times New Roman"/>
                <w:sz w:val="24"/>
                <w:szCs w:val="24"/>
              </w:rPr>
            </w:pPr>
          </w:p>
          <w:p w:rsidR="00B8517F" w:rsidRDefault="00B8517F" w:rsidP="00FE1030">
            <w:pPr>
              <w:jc w:val="center"/>
              <w:rPr>
                <w:rFonts w:ascii="Times New Roman" w:hAnsi="Times New Roman" w:cs="Times New Roman"/>
                <w:sz w:val="24"/>
                <w:szCs w:val="24"/>
              </w:rPr>
            </w:pPr>
            <w:r>
              <w:rPr>
                <w:rFonts w:ascii="Times New Roman" w:hAnsi="Times New Roman" w:cs="Times New Roman"/>
                <w:sz w:val="24"/>
                <w:szCs w:val="24"/>
              </w:rPr>
              <w:t>Державно-</w:t>
            </w:r>
            <w:r w:rsidRPr="00E74332">
              <w:rPr>
                <w:rFonts w:ascii="Times New Roman" w:hAnsi="Times New Roman" w:cs="Times New Roman"/>
                <w:sz w:val="24"/>
                <w:szCs w:val="24"/>
              </w:rPr>
              <w:t>приватне партнерство</w:t>
            </w:r>
          </w:p>
          <w:p w:rsidR="00B8517F" w:rsidRDefault="00B8517F" w:rsidP="00FE1030">
            <w:pPr>
              <w:jc w:val="center"/>
              <w:rPr>
                <w:rFonts w:ascii="Times New Roman" w:hAnsi="Times New Roman" w:cs="Times New Roman"/>
                <w:sz w:val="24"/>
                <w:szCs w:val="24"/>
              </w:rPr>
            </w:pPr>
          </w:p>
          <w:p w:rsidR="00B8517F" w:rsidRDefault="00B8517F" w:rsidP="00FE1030">
            <w:pPr>
              <w:jc w:val="center"/>
              <w:rPr>
                <w:rFonts w:ascii="Times New Roman" w:hAnsi="Times New Roman" w:cs="Times New Roman"/>
                <w:sz w:val="24"/>
                <w:szCs w:val="24"/>
              </w:rPr>
            </w:pPr>
            <w:r>
              <w:rPr>
                <w:rFonts w:ascii="Times New Roman" w:hAnsi="Times New Roman" w:cs="Times New Roman"/>
                <w:sz w:val="24"/>
                <w:szCs w:val="24"/>
              </w:rPr>
              <w:t>Надзвичайні ситуації</w:t>
            </w:r>
          </w:p>
          <w:p w:rsidR="00B8517F" w:rsidRPr="00E74332" w:rsidRDefault="00B8517F" w:rsidP="00FE1030">
            <w:pPr>
              <w:jc w:val="center"/>
              <w:rPr>
                <w:rFonts w:ascii="Times New Roman" w:hAnsi="Times New Roman" w:cs="Times New Roman"/>
                <w:sz w:val="24"/>
                <w:szCs w:val="24"/>
              </w:rPr>
            </w:pPr>
          </w:p>
        </w:tc>
        <w:tc>
          <w:tcPr>
            <w:tcW w:w="2977" w:type="dxa"/>
          </w:tcPr>
          <w:p w:rsidR="00B8517F" w:rsidRPr="00E74332" w:rsidRDefault="00B8517F" w:rsidP="00FE1030">
            <w:pPr>
              <w:rPr>
                <w:rFonts w:ascii="Times New Roman" w:hAnsi="Times New Roman" w:cs="Times New Roman"/>
                <w:sz w:val="24"/>
                <w:szCs w:val="24"/>
              </w:rPr>
            </w:pPr>
          </w:p>
        </w:tc>
        <w:tc>
          <w:tcPr>
            <w:tcW w:w="2835" w:type="dxa"/>
          </w:tcPr>
          <w:p w:rsidR="00B8517F" w:rsidRPr="00E74332" w:rsidRDefault="00B8517F" w:rsidP="00FE1030">
            <w:pPr>
              <w:rPr>
                <w:rFonts w:ascii="Times New Roman" w:hAnsi="Times New Roman" w:cs="Times New Roman"/>
                <w:sz w:val="24"/>
                <w:szCs w:val="24"/>
              </w:rPr>
            </w:pPr>
          </w:p>
        </w:tc>
      </w:tr>
      <w:tr w:rsidR="00B8517F" w:rsidTr="00FE1030">
        <w:tc>
          <w:tcPr>
            <w:tcW w:w="690" w:type="dxa"/>
            <w:tcBorders>
              <w:left w:val="nil"/>
              <w:bottom w:val="nil"/>
              <w:right w:val="nil"/>
            </w:tcBorders>
          </w:tcPr>
          <w:p w:rsidR="00B8517F" w:rsidRDefault="00B8517F" w:rsidP="00FE1030"/>
        </w:tc>
        <w:tc>
          <w:tcPr>
            <w:tcW w:w="774" w:type="dxa"/>
            <w:tcBorders>
              <w:left w:val="nil"/>
              <w:bottom w:val="nil"/>
            </w:tcBorders>
          </w:tcPr>
          <w:p w:rsidR="00B8517F" w:rsidRDefault="00B8517F" w:rsidP="00FE1030"/>
        </w:tc>
        <w:tc>
          <w:tcPr>
            <w:tcW w:w="2642" w:type="dxa"/>
          </w:tcPr>
          <w:p w:rsidR="00B8517F" w:rsidRPr="0051397A" w:rsidRDefault="00B8517F" w:rsidP="00FE1030">
            <w:pPr>
              <w:jc w:val="center"/>
              <w:rPr>
                <w:rFonts w:ascii="Times New Roman" w:hAnsi="Times New Roman" w:cs="Times New Roman"/>
                <w:b/>
                <w:i/>
              </w:rPr>
            </w:pPr>
            <w:r w:rsidRPr="0051397A">
              <w:rPr>
                <w:rFonts w:ascii="Times New Roman" w:hAnsi="Times New Roman" w:cs="Times New Roman"/>
                <w:b/>
                <w:i/>
              </w:rPr>
              <w:t>Низька</w:t>
            </w:r>
            <w:r>
              <w:rPr>
                <w:rFonts w:ascii="Times New Roman" w:hAnsi="Times New Roman" w:cs="Times New Roman"/>
                <w:b/>
                <w:i/>
              </w:rPr>
              <w:t xml:space="preserve"> (</w:t>
            </w:r>
            <w:r w:rsidRPr="00CC7A22">
              <w:rPr>
                <w:rFonts w:ascii="Times New Roman" w:hAnsi="Times New Roman" w:cs="Times New Roman"/>
                <w:b/>
                <w:i/>
                <w:lang w:val="ru-RU"/>
              </w:rPr>
              <w:t>&lt;</w:t>
            </w:r>
            <w:r>
              <w:rPr>
                <w:rFonts w:ascii="Times New Roman" w:hAnsi="Times New Roman" w:cs="Times New Roman"/>
                <w:b/>
                <w:i/>
              </w:rPr>
              <w:t xml:space="preserve"> 33%)</w:t>
            </w:r>
          </w:p>
        </w:tc>
        <w:tc>
          <w:tcPr>
            <w:tcW w:w="2977" w:type="dxa"/>
          </w:tcPr>
          <w:p w:rsidR="00B8517F" w:rsidRPr="00CC7A22" w:rsidRDefault="00B8517F" w:rsidP="00FE1030">
            <w:pPr>
              <w:jc w:val="center"/>
              <w:rPr>
                <w:rFonts w:ascii="Times New Roman" w:hAnsi="Times New Roman" w:cs="Times New Roman"/>
                <w:b/>
                <w:i/>
                <w:lang w:val="ru-RU"/>
              </w:rPr>
            </w:pPr>
            <w:r w:rsidRPr="0051397A">
              <w:rPr>
                <w:rFonts w:ascii="Times New Roman" w:hAnsi="Times New Roman" w:cs="Times New Roman"/>
                <w:b/>
                <w:i/>
              </w:rPr>
              <w:t>Середня</w:t>
            </w:r>
            <w:r w:rsidRPr="00CC7A22">
              <w:rPr>
                <w:rFonts w:ascii="Times New Roman" w:hAnsi="Times New Roman" w:cs="Times New Roman"/>
                <w:b/>
                <w:i/>
                <w:lang w:val="ru-RU"/>
              </w:rPr>
              <w:t xml:space="preserve"> (33% - 66%)</w:t>
            </w:r>
          </w:p>
        </w:tc>
        <w:tc>
          <w:tcPr>
            <w:tcW w:w="2835" w:type="dxa"/>
          </w:tcPr>
          <w:p w:rsidR="00B8517F" w:rsidRPr="00CC7A22" w:rsidRDefault="00B8517F" w:rsidP="00FE1030">
            <w:pPr>
              <w:jc w:val="center"/>
              <w:rPr>
                <w:rFonts w:ascii="Times New Roman" w:hAnsi="Times New Roman" w:cs="Times New Roman"/>
                <w:b/>
                <w:i/>
                <w:lang w:val="ru-RU"/>
              </w:rPr>
            </w:pPr>
            <w:r w:rsidRPr="0051397A">
              <w:rPr>
                <w:rFonts w:ascii="Times New Roman" w:hAnsi="Times New Roman" w:cs="Times New Roman"/>
                <w:b/>
                <w:i/>
              </w:rPr>
              <w:t>Висока</w:t>
            </w:r>
            <w:r w:rsidRPr="00CC7A22">
              <w:rPr>
                <w:rFonts w:ascii="Times New Roman" w:hAnsi="Times New Roman" w:cs="Times New Roman"/>
                <w:b/>
                <w:i/>
                <w:lang w:val="ru-RU"/>
              </w:rPr>
              <w:t xml:space="preserve"> (&gt; 66%)</w:t>
            </w:r>
          </w:p>
        </w:tc>
      </w:tr>
      <w:tr w:rsidR="00B8517F" w:rsidTr="00FE1030">
        <w:tc>
          <w:tcPr>
            <w:tcW w:w="690" w:type="dxa"/>
            <w:tcBorders>
              <w:top w:val="nil"/>
              <w:left w:val="nil"/>
              <w:bottom w:val="nil"/>
              <w:right w:val="nil"/>
            </w:tcBorders>
          </w:tcPr>
          <w:p w:rsidR="00B8517F" w:rsidRDefault="00B8517F" w:rsidP="00FE1030"/>
        </w:tc>
        <w:tc>
          <w:tcPr>
            <w:tcW w:w="774" w:type="dxa"/>
            <w:tcBorders>
              <w:top w:val="nil"/>
              <w:left w:val="nil"/>
              <w:bottom w:val="nil"/>
            </w:tcBorders>
          </w:tcPr>
          <w:p w:rsidR="00B8517F" w:rsidRDefault="00B8517F" w:rsidP="00FE1030"/>
        </w:tc>
        <w:tc>
          <w:tcPr>
            <w:tcW w:w="8454" w:type="dxa"/>
            <w:gridSpan w:val="3"/>
          </w:tcPr>
          <w:p w:rsidR="00B8517F" w:rsidRPr="002F249E" w:rsidRDefault="00B8517F" w:rsidP="00FE1030">
            <w:pPr>
              <w:jc w:val="center"/>
              <w:rPr>
                <w:rFonts w:ascii="Times New Roman" w:hAnsi="Times New Roman" w:cs="Times New Roman"/>
                <w:b/>
              </w:rPr>
            </w:pPr>
            <w:r w:rsidRPr="0051397A">
              <w:rPr>
                <w:rFonts w:ascii="Times New Roman" w:hAnsi="Times New Roman" w:cs="Times New Roman"/>
                <w:b/>
              </w:rPr>
              <w:t>ІМОВІРНІСТЬ НАСТАННЯ</w:t>
            </w:r>
            <w:r>
              <w:rPr>
                <w:rFonts w:ascii="Times New Roman" w:hAnsi="Times New Roman" w:cs="Times New Roman"/>
                <w:b/>
                <w:lang w:val="en-US"/>
              </w:rPr>
              <w:t xml:space="preserve"> </w:t>
            </w:r>
            <w:r>
              <w:rPr>
                <w:rFonts w:ascii="Times New Roman" w:hAnsi="Times New Roman" w:cs="Times New Roman"/>
                <w:b/>
              </w:rPr>
              <w:t>ФІСКАЛЬНОГО РИЗИКУ</w:t>
            </w:r>
          </w:p>
        </w:tc>
      </w:tr>
    </w:tbl>
    <w:p w:rsidR="00B8517F" w:rsidRDefault="00B8517F" w:rsidP="00B8517F">
      <w:pPr>
        <w:spacing w:before="120" w:after="0" w:line="240" w:lineRule="auto"/>
        <w:jc w:val="both"/>
        <w:rPr>
          <w:rFonts w:ascii="Times New Roman" w:hAnsi="Times New Roman" w:cs="Times New Roman"/>
          <w:i/>
          <w:color w:val="000000" w:themeColor="text1"/>
          <w:sz w:val="24"/>
          <w:szCs w:val="24"/>
        </w:rPr>
      </w:pPr>
      <w:r w:rsidRPr="00607992">
        <w:rPr>
          <w:rFonts w:ascii="Times New Roman" w:hAnsi="Times New Roman" w:cs="Times New Roman"/>
          <w:i/>
          <w:color w:val="000000" w:themeColor="text1"/>
          <w:sz w:val="24"/>
          <w:szCs w:val="24"/>
        </w:rPr>
        <w:t>Джерело: Мін</w:t>
      </w:r>
      <w:r>
        <w:rPr>
          <w:rFonts w:ascii="Times New Roman" w:hAnsi="Times New Roman" w:cs="Times New Roman"/>
          <w:i/>
          <w:color w:val="000000" w:themeColor="text1"/>
          <w:sz w:val="24"/>
          <w:szCs w:val="24"/>
        </w:rPr>
        <w:t xml:space="preserve">істерство </w:t>
      </w:r>
      <w:r w:rsidRPr="00607992">
        <w:rPr>
          <w:rFonts w:ascii="Times New Roman" w:hAnsi="Times New Roman" w:cs="Times New Roman"/>
          <w:i/>
          <w:color w:val="000000" w:themeColor="text1"/>
          <w:sz w:val="24"/>
          <w:szCs w:val="24"/>
        </w:rPr>
        <w:t>ф</w:t>
      </w:r>
      <w:r>
        <w:rPr>
          <w:rFonts w:ascii="Times New Roman" w:hAnsi="Times New Roman" w:cs="Times New Roman"/>
          <w:i/>
          <w:color w:val="000000" w:themeColor="text1"/>
          <w:sz w:val="24"/>
          <w:szCs w:val="24"/>
        </w:rPr>
        <w:t>інансів України.</w:t>
      </w:r>
    </w:p>
    <w:p w:rsidR="00B8517F" w:rsidRDefault="00B8517F" w:rsidP="00B8517F">
      <w:pPr>
        <w:rPr>
          <w:rFonts w:ascii="Times New Roman" w:hAnsi="Times New Roman" w:cs="Times New Roman"/>
          <w:i/>
          <w:color w:val="000000" w:themeColor="text1"/>
          <w:sz w:val="24"/>
          <w:szCs w:val="24"/>
        </w:rPr>
      </w:pPr>
      <w:r>
        <w:rPr>
          <w:rFonts w:ascii="Times New Roman" w:hAnsi="Times New Roman" w:cs="Times New Roman"/>
          <w:i/>
          <w:color w:val="000000" w:themeColor="text1"/>
          <w:sz w:val="24"/>
          <w:szCs w:val="24"/>
        </w:rPr>
        <w:br w:type="page"/>
      </w:r>
    </w:p>
    <w:p w:rsidR="00B8517F" w:rsidRDefault="00B8517F" w:rsidP="00B8517F">
      <w:pPr>
        <w:pStyle w:val="1"/>
        <w:spacing w:before="0" w:after="240" w:line="240" w:lineRule="auto"/>
        <w:jc w:val="center"/>
        <w:rPr>
          <w:b/>
          <w:sz w:val="28"/>
        </w:rPr>
      </w:pPr>
      <w:bookmarkStart w:id="1" w:name="_Toc82168984"/>
      <w:r w:rsidRPr="000F46FC">
        <w:rPr>
          <w:b/>
          <w:sz w:val="28"/>
        </w:rPr>
        <w:t xml:space="preserve">ФІСКАЛЬНІ РИЗИКИ, ПОВ’ЯЗАНІ ІЗ ЗМІНАМИ У </w:t>
      </w:r>
      <w:r w:rsidRPr="000F46FC">
        <w:rPr>
          <w:b/>
          <w:sz w:val="28"/>
        </w:rPr>
        <w:br/>
        <w:t>МАКРОЕКОНОМІЧНОМУ СЕРЕДОВИЩІ</w:t>
      </w:r>
      <w:bookmarkEnd w:id="1"/>
    </w:p>
    <w:p w:rsidR="00B8517F" w:rsidRPr="00F26AFF" w:rsidRDefault="00B8517F" w:rsidP="00B8517F">
      <w:pPr>
        <w:pStyle w:val="a4"/>
        <w:widowControl w:val="0"/>
        <w:numPr>
          <w:ilvl w:val="0"/>
          <w:numId w:val="14"/>
        </w:numPr>
        <w:autoSpaceDE w:val="0"/>
        <w:autoSpaceDN w:val="0"/>
        <w:spacing w:after="0" w:line="316" w:lineRule="auto"/>
        <w:ind w:left="851" w:hanging="284"/>
        <w:contextualSpacing w:val="0"/>
        <w:jc w:val="both"/>
        <w:rPr>
          <w:rFonts w:ascii="Times New Roman" w:eastAsia="Times New Roman" w:hAnsi="Times New Roman" w:cs="Times New Roman"/>
          <w:b/>
          <w:sz w:val="24"/>
          <w:szCs w:val="28"/>
          <w:lang w:eastAsia="ru-RU"/>
        </w:rPr>
      </w:pPr>
      <w:bookmarkStart w:id="2" w:name="_bookmark2"/>
      <w:bookmarkEnd w:id="2"/>
      <w:r w:rsidRPr="00F26AFF">
        <w:rPr>
          <w:rFonts w:ascii="Times New Roman" w:eastAsia="Times New Roman" w:hAnsi="Times New Roman" w:cs="Times New Roman"/>
          <w:b/>
          <w:sz w:val="24"/>
          <w:szCs w:val="28"/>
          <w:lang w:eastAsia="ru-RU"/>
        </w:rPr>
        <w:t>Ризики макроеко</w:t>
      </w:r>
      <w:r>
        <w:rPr>
          <w:rFonts w:ascii="Times New Roman" w:eastAsia="Times New Roman" w:hAnsi="Times New Roman" w:cs="Times New Roman"/>
          <w:b/>
          <w:sz w:val="24"/>
          <w:szCs w:val="28"/>
          <w:lang w:eastAsia="ru-RU"/>
        </w:rPr>
        <w:t>номічного прогнозу на 2021 рік</w:t>
      </w:r>
    </w:p>
    <w:p w:rsidR="00B8517F" w:rsidRPr="00B8517F" w:rsidRDefault="00B8517F" w:rsidP="00B8517F">
      <w:pPr>
        <w:spacing w:after="0" w:line="240" w:lineRule="auto"/>
        <w:ind w:firstLine="567"/>
        <w:jc w:val="both"/>
        <w:rPr>
          <w:rFonts w:ascii="Times New Roman" w:eastAsia="Times New Roman" w:hAnsi="Times New Roman" w:cs="Times New Roman"/>
          <w:sz w:val="24"/>
          <w:szCs w:val="24"/>
          <w:lang w:eastAsia="ru-RU"/>
        </w:rPr>
      </w:pPr>
      <w:r w:rsidRPr="00656AA1">
        <w:rPr>
          <w:rFonts w:ascii="Times New Roman" w:eastAsia="Times New Roman" w:hAnsi="Times New Roman" w:cs="Times New Roman"/>
          <w:sz w:val="24"/>
          <w:szCs w:val="24"/>
          <w:lang w:eastAsia="ru-RU"/>
        </w:rPr>
        <w:t xml:space="preserve">Ситуація в економіці </w:t>
      </w:r>
      <w:r>
        <w:rPr>
          <w:rFonts w:ascii="Times New Roman" w:eastAsia="Times New Roman" w:hAnsi="Times New Roman" w:cs="Times New Roman"/>
          <w:sz w:val="24"/>
          <w:szCs w:val="24"/>
          <w:lang w:eastAsia="ru-RU"/>
        </w:rPr>
        <w:t>у</w:t>
      </w:r>
      <w:r w:rsidRPr="00656AA1">
        <w:rPr>
          <w:rFonts w:ascii="Times New Roman" w:eastAsia="Times New Roman" w:hAnsi="Times New Roman" w:cs="Times New Roman"/>
          <w:sz w:val="24"/>
          <w:szCs w:val="24"/>
          <w:lang w:eastAsia="ru-RU"/>
        </w:rPr>
        <w:t xml:space="preserve"> 2021 ро</w:t>
      </w:r>
      <w:r>
        <w:rPr>
          <w:rFonts w:ascii="Times New Roman" w:eastAsia="Times New Roman" w:hAnsi="Times New Roman" w:cs="Times New Roman"/>
          <w:sz w:val="24"/>
          <w:szCs w:val="24"/>
          <w:lang w:eastAsia="ru-RU"/>
        </w:rPr>
        <w:t>ці</w:t>
      </w:r>
      <w:r w:rsidRPr="00656AA1">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продовжує перебувати під впливом </w:t>
      </w:r>
      <w:r w:rsidRPr="00656AA1">
        <w:rPr>
          <w:rFonts w:ascii="Times New Roman" w:eastAsia="Times New Roman" w:hAnsi="Times New Roman" w:cs="Times New Roman"/>
          <w:sz w:val="24"/>
          <w:szCs w:val="24"/>
          <w:lang w:eastAsia="ru-RU"/>
        </w:rPr>
        <w:t xml:space="preserve">розповсюдження </w:t>
      </w:r>
      <w:r w:rsidRPr="00B8517F">
        <w:rPr>
          <w:rFonts w:ascii="Times New Roman" w:eastAsia="Times New Roman" w:hAnsi="Times New Roman" w:cs="Times New Roman"/>
          <w:sz w:val="24"/>
          <w:szCs w:val="24"/>
          <w:lang w:eastAsia="ru-RU"/>
        </w:rPr>
        <w:t xml:space="preserve">пандемії COVID-19 на тлі поширення нових штамів </w:t>
      </w:r>
      <w:proofErr w:type="spellStart"/>
      <w:r w:rsidRPr="00B8517F">
        <w:rPr>
          <w:rFonts w:ascii="Times New Roman" w:eastAsia="Times New Roman" w:hAnsi="Times New Roman" w:cs="Times New Roman"/>
          <w:sz w:val="24"/>
          <w:szCs w:val="24"/>
          <w:lang w:eastAsia="ru-RU"/>
        </w:rPr>
        <w:t>коронавірусу</w:t>
      </w:r>
      <w:proofErr w:type="spellEnd"/>
      <w:r w:rsidRPr="00B8517F">
        <w:rPr>
          <w:rFonts w:ascii="Times New Roman" w:eastAsia="Times New Roman" w:hAnsi="Times New Roman" w:cs="Times New Roman"/>
          <w:sz w:val="24"/>
          <w:szCs w:val="24"/>
          <w:lang w:eastAsia="ru-RU"/>
        </w:rPr>
        <w:t>, триваючої кампанії вакцинації та зростаючого рівня адаптації суспільства до існування в нових умовах.</w:t>
      </w:r>
    </w:p>
    <w:p w:rsidR="00B8517F" w:rsidRPr="00B8517F" w:rsidRDefault="00B8517F" w:rsidP="00B8517F">
      <w:pPr>
        <w:spacing w:after="0" w:line="240" w:lineRule="auto"/>
        <w:ind w:firstLine="567"/>
        <w:jc w:val="both"/>
        <w:rPr>
          <w:rFonts w:ascii="Times New Roman" w:eastAsia="Times New Roman" w:hAnsi="Times New Roman" w:cs="Times New Roman"/>
          <w:sz w:val="24"/>
          <w:szCs w:val="24"/>
          <w:lang w:eastAsia="ru-RU"/>
        </w:rPr>
      </w:pPr>
      <w:r w:rsidRPr="00B8517F">
        <w:rPr>
          <w:rFonts w:ascii="Times New Roman" w:eastAsia="Times New Roman" w:hAnsi="Times New Roman" w:cs="Times New Roman"/>
          <w:sz w:val="24"/>
          <w:szCs w:val="24"/>
          <w:lang w:eastAsia="ru-RU"/>
        </w:rPr>
        <w:t>Найбільші відхилення поточного стану економіки та очікуваних показників пов’язані із суттєвими розбіжностями у показниках зовнішнього сектору економіки (зокрема, світових цін на ключові товари вітчизняного експорту), які є припущенням для макроекономічного прогнозу.</w:t>
      </w:r>
    </w:p>
    <w:p w:rsidR="00B8517F" w:rsidRPr="00B8517F" w:rsidRDefault="00B8517F" w:rsidP="00B8517F">
      <w:pPr>
        <w:spacing w:after="0" w:line="240" w:lineRule="auto"/>
        <w:ind w:firstLine="567"/>
        <w:jc w:val="both"/>
        <w:rPr>
          <w:rFonts w:ascii="Times New Roman" w:eastAsia="Times New Roman" w:hAnsi="Times New Roman" w:cs="Times New Roman"/>
          <w:sz w:val="24"/>
          <w:szCs w:val="24"/>
          <w:lang w:eastAsia="ru-RU"/>
        </w:rPr>
      </w:pPr>
      <w:r w:rsidRPr="00B8517F">
        <w:rPr>
          <w:rFonts w:ascii="Times New Roman" w:eastAsia="Times New Roman" w:hAnsi="Times New Roman" w:cs="Times New Roman"/>
          <w:sz w:val="24"/>
          <w:szCs w:val="24"/>
          <w:lang w:eastAsia="ru-RU"/>
        </w:rPr>
        <w:t xml:space="preserve">На дещо гірші, ніж очікувалось раніше, показники розвитку економіки у І півріччі </w:t>
      </w:r>
      <w:r w:rsidRPr="00B8517F">
        <w:rPr>
          <w:rFonts w:ascii="Times New Roman" w:eastAsia="Times New Roman" w:hAnsi="Times New Roman" w:cs="Times New Roman"/>
          <w:sz w:val="24"/>
          <w:szCs w:val="24"/>
          <w:lang w:eastAsia="ru-RU"/>
        </w:rPr>
        <w:br/>
        <w:t xml:space="preserve">2021 року вплинули: </w:t>
      </w:r>
    </w:p>
    <w:p w:rsidR="00B8517F" w:rsidRPr="00B8517F" w:rsidRDefault="00B8517F" w:rsidP="00B8517F">
      <w:pPr>
        <w:pStyle w:val="a4"/>
        <w:widowControl w:val="0"/>
        <w:numPr>
          <w:ilvl w:val="0"/>
          <w:numId w:val="43"/>
        </w:numPr>
        <w:tabs>
          <w:tab w:val="left" w:pos="993"/>
        </w:tabs>
        <w:autoSpaceDE w:val="0"/>
        <w:autoSpaceDN w:val="0"/>
        <w:spacing w:after="0" w:line="240" w:lineRule="auto"/>
        <w:ind w:left="0" w:firstLine="567"/>
        <w:contextualSpacing w:val="0"/>
        <w:jc w:val="both"/>
        <w:rPr>
          <w:rFonts w:ascii="Times New Roman" w:eastAsia="Times New Roman" w:hAnsi="Times New Roman" w:cs="Times New Roman"/>
          <w:sz w:val="24"/>
          <w:szCs w:val="24"/>
          <w:lang w:eastAsia="ru-RU"/>
        </w:rPr>
      </w:pPr>
      <w:r w:rsidRPr="00B8517F">
        <w:rPr>
          <w:rFonts w:ascii="Times New Roman" w:eastAsia="Times New Roman" w:hAnsi="Times New Roman" w:cs="Times New Roman"/>
          <w:sz w:val="24"/>
          <w:szCs w:val="24"/>
          <w:lang w:eastAsia="ru-RU"/>
        </w:rPr>
        <w:t>запровадження карантинних обмежень на початку року (упродовж І кварталу 2021 року в Україні було впроваджено черговий «</w:t>
      </w:r>
      <w:proofErr w:type="spellStart"/>
      <w:r w:rsidRPr="00B8517F">
        <w:rPr>
          <w:rFonts w:ascii="Times New Roman" w:eastAsia="Times New Roman" w:hAnsi="Times New Roman" w:cs="Times New Roman"/>
          <w:sz w:val="24"/>
          <w:szCs w:val="24"/>
          <w:lang w:eastAsia="ru-RU"/>
        </w:rPr>
        <w:t>локдаун</w:t>
      </w:r>
      <w:proofErr w:type="spellEnd"/>
      <w:r w:rsidRPr="00B8517F">
        <w:rPr>
          <w:rFonts w:ascii="Times New Roman" w:eastAsia="Times New Roman" w:hAnsi="Times New Roman" w:cs="Times New Roman"/>
          <w:sz w:val="24"/>
          <w:szCs w:val="24"/>
          <w:lang w:eastAsia="ru-RU"/>
        </w:rPr>
        <w:t>» (з 08 по 24 січня включно), перехід до норм адаптивного карантину (лютий – перша декада березня) та чергове посилення карантинних заходів в окремих регіонах наприкінці березня;</w:t>
      </w:r>
    </w:p>
    <w:p w:rsidR="00B8517F" w:rsidRPr="00B8517F" w:rsidRDefault="00B8517F" w:rsidP="00B8517F">
      <w:pPr>
        <w:pStyle w:val="a4"/>
        <w:widowControl w:val="0"/>
        <w:numPr>
          <w:ilvl w:val="0"/>
          <w:numId w:val="43"/>
        </w:numPr>
        <w:tabs>
          <w:tab w:val="left" w:pos="993"/>
        </w:tabs>
        <w:autoSpaceDE w:val="0"/>
        <w:autoSpaceDN w:val="0"/>
        <w:spacing w:after="0" w:line="240" w:lineRule="auto"/>
        <w:ind w:left="0" w:firstLine="567"/>
        <w:contextualSpacing w:val="0"/>
        <w:jc w:val="both"/>
        <w:rPr>
          <w:rFonts w:ascii="Times New Roman" w:eastAsia="Times New Roman" w:hAnsi="Times New Roman" w:cs="Times New Roman"/>
          <w:sz w:val="24"/>
          <w:szCs w:val="24"/>
          <w:lang w:eastAsia="ru-RU"/>
        </w:rPr>
      </w:pPr>
      <w:r w:rsidRPr="00B8517F">
        <w:rPr>
          <w:rFonts w:ascii="Times New Roman" w:eastAsia="Times New Roman" w:hAnsi="Times New Roman" w:cs="Times New Roman"/>
          <w:sz w:val="24"/>
          <w:szCs w:val="24"/>
          <w:lang w:eastAsia="ru-RU"/>
        </w:rPr>
        <w:t>розповсюдження пандемії на тлі виникнення нових штамів вірусу та затримок із початком кампанії вакцинації;</w:t>
      </w:r>
    </w:p>
    <w:p w:rsidR="00B8517F" w:rsidRPr="00B8517F" w:rsidRDefault="00B8517F" w:rsidP="00B8517F">
      <w:pPr>
        <w:pStyle w:val="a4"/>
        <w:widowControl w:val="0"/>
        <w:numPr>
          <w:ilvl w:val="0"/>
          <w:numId w:val="43"/>
        </w:numPr>
        <w:tabs>
          <w:tab w:val="left" w:pos="993"/>
        </w:tabs>
        <w:autoSpaceDE w:val="0"/>
        <w:autoSpaceDN w:val="0"/>
        <w:spacing w:after="0" w:line="240" w:lineRule="auto"/>
        <w:ind w:left="0" w:firstLine="567"/>
        <w:contextualSpacing w:val="0"/>
        <w:jc w:val="both"/>
        <w:rPr>
          <w:rFonts w:ascii="Times New Roman" w:eastAsia="Times New Roman" w:hAnsi="Times New Roman" w:cs="Times New Roman"/>
          <w:sz w:val="24"/>
          <w:szCs w:val="24"/>
          <w:lang w:eastAsia="ru-RU"/>
        </w:rPr>
      </w:pPr>
      <w:r w:rsidRPr="00B8517F">
        <w:rPr>
          <w:rFonts w:ascii="Times New Roman" w:eastAsia="Times New Roman" w:hAnsi="Times New Roman" w:cs="Times New Roman"/>
          <w:sz w:val="24"/>
          <w:szCs w:val="24"/>
          <w:lang w:eastAsia="ru-RU"/>
        </w:rPr>
        <w:t>більш пізній старт збиральної компанії у сільському господарстві у поточному році.</w:t>
      </w:r>
    </w:p>
    <w:p w:rsidR="00B8517F" w:rsidRPr="00E91973" w:rsidRDefault="00B8517F" w:rsidP="00B8517F">
      <w:pPr>
        <w:pStyle w:val="a4"/>
        <w:spacing w:after="120" w:line="240" w:lineRule="auto"/>
        <w:ind w:left="0" w:firstLine="567"/>
        <w:contextualSpacing w:val="0"/>
        <w:jc w:val="both"/>
        <w:rPr>
          <w:rFonts w:ascii="Times New Roman" w:eastAsia="Times New Roman" w:hAnsi="Times New Roman" w:cs="Times New Roman"/>
          <w:sz w:val="24"/>
          <w:szCs w:val="24"/>
          <w:lang w:eastAsia="ru-RU"/>
        </w:rPr>
      </w:pPr>
      <w:r w:rsidRPr="00B8517F">
        <w:rPr>
          <w:rFonts w:ascii="Times New Roman" w:eastAsia="Times New Roman" w:hAnsi="Times New Roman" w:cs="Times New Roman"/>
          <w:sz w:val="24"/>
          <w:szCs w:val="24"/>
          <w:lang w:eastAsia="ru-RU"/>
        </w:rPr>
        <w:t xml:space="preserve">Разом з тим більша частина ризиків, пов’язаних із змінами у макроекономічному середовищі, які були ідентифіковані під час розроблення бюджету на 2021 рік, не справдилась, або справдилась лише частково, і суттєвого впливу на макроекономічну ситуацію у поточному році не мала. Детальний опис справдження макроекономічних ризиків у поточному році наведено </w:t>
      </w:r>
      <w:r>
        <w:rPr>
          <w:rFonts w:ascii="Times New Roman" w:eastAsia="Times New Roman" w:hAnsi="Times New Roman" w:cs="Times New Roman"/>
          <w:sz w:val="24"/>
          <w:szCs w:val="24"/>
          <w:lang w:eastAsia="ru-RU"/>
        </w:rPr>
        <w:t>у таблиці.</w:t>
      </w:r>
    </w:p>
    <w:p w:rsidR="00B8517F" w:rsidRPr="00B8517F" w:rsidRDefault="00B8517F" w:rsidP="00B8517F">
      <w:pPr>
        <w:pStyle w:val="af1"/>
        <w:spacing w:after="120"/>
        <w:ind w:left="1440" w:right="947" w:firstLine="720"/>
        <w:jc w:val="center"/>
        <w:rPr>
          <w:rFonts w:ascii="Times New Roman" w:hAnsi="Times New Roman" w:cs="Times New Roman"/>
          <w:b/>
          <w:sz w:val="24"/>
          <w:szCs w:val="24"/>
          <w:lang w:val="uk-UA"/>
        </w:rPr>
      </w:pPr>
      <w:r w:rsidRPr="006F17B6">
        <w:rPr>
          <w:rFonts w:ascii="Times New Roman" w:hAnsi="Times New Roman" w:cs="Times New Roman"/>
          <w:b/>
          <w:sz w:val="24"/>
          <w:szCs w:val="24"/>
          <w:lang w:val="uk-UA"/>
        </w:rPr>
        <w:t xml:space="preserve">Матриця справдження ризиків, пов’язаних із змінами у </w:t>
      </w:r>
      <w:r w:rsidRPr="00B8517F">
        <w:rPr>
          <w:rFonts w:ascii="Times New Roman" w:hAnsi="Times New Roman" w:cs="Times New Roman"/>
          <w:b/>
          <w:sz w:val="24"/>
          <w:szCs w:val="24"/>
          <w:lang w:val="uk-UA"/>
        </w:rPr>
        <w:t>макроекономічному середовищі</w:t>
      </w:r>
    </w:p>
    <w:tbl>
      <w:tblPr>
        <w:tblStyle w:val="a3"/>
        <w:tblW w:w="9923" w:type="dxa"/>
        <w:tblInd w:w="-5" w:type="dxa"/>
        <w:tblLayout w:type="fixed"/>
        <w:tblLook w:val="04A0" w:firstRow="1" w:lastRow="0" w:firstColumn="1" w:lastColumn="0" w:noHBand="0" w:noVBand="1"/>
      </w:tblPr>
      <w:tblGrid>
        <w:gridCol w:w="567"/>
        <w:gridCol w:w="3686"/>
        <w:gridCol w:w="5670"/>
      </w:tblGrid>
      <w:tr w:rsidR="00B8517F" w:rsidRPr="00B8517F" w:rsidTr="00FE1030">
        <w:trPr>
          <w:trHeight w:val="679"/>
        </w:trPr>
        <w:tc>
          <w:tcPr>
            <w:tcW w:w="567" w:type="dxa"/>
          </w:tcPr>
          <w:p w:rsidR="00B8517F" w:rsidRPr="00B8517F" w:rsidRDefault="00B8517F" w:rsidP="00FE1030">
            <w:pPr>
              <w:pStyle w:val="af1"/>
              <w:ind w:right="-95"/>
              <w:jc w:val="center"/>
              <w:rPr>
                <w:rFonts w:ascii="Times New Roman" w:hAnsi="Times New Roman" w:cs="Times New Roman"/>
                <w:b/>
                <w:sz w:val="24"/>
                <w:szCs w:val="23"/>
                <w:lang w:val="uk-UA"/>
              </w:rPr>
            </w:pPr>
            <w:r w:rsidRPr="00B8517F">
              <w:rPr>
                <w:rFonts w:ascii="Times New Roman" w:hAnsi="Times New Roman" w:cs="Times New Roman"/>
                <w:b/>
                <w:sz w:val="24"/>
                <w:szCs w:val="23"/>
                <w:lang w:val="uk-UA"/>
              </w:rPr>
              <w:t>№</w:t>
            </w:r>
          </w:p>
          <w:p w:rsidR="00B8517F" w:rsidRPr="00B8517F" w:rsidRDefault="00B8517F" w:rsidP="00FE1030">
            <w:pPr>
              <w:pStyle w:val="af1"/>
              <w:ind w:right="-95"/>
              <w:jc w:val="center"/>
              <w:rPr>
                <w:rFonts w:ascii="Times New Roman" w:hAnsi="Times New Roman" w:cs="Times New Roman"/>
                <w:b/>
                <w:sz w:val="24"/>
                <w:szCs w:val="23"/>
                <w:lang w:val="uk-UA"/>
              </w:rPr>
            </w:pPr>
            <w:r w:rsidRPr="00B8517F">
              <w:rPr>
                <w:rFonts w:ascii="Times New Roman" w:hAnsi="Times New Roman" w:cs="Times New Roman"/>
                <w:b/>
                <w:sz w:val="24"/>
                <w:szCs w:val="23"/>
                <w:lang w:val="uk-UA"/>
              </w:rPr>
              <w:t>з/п</w:t>
            </w:r>
          </w:p>
        </w:tc>
        <w:tc>
          <w:tcPr>
            <w:tcW w:w="3686" w:type="dxa"/>
          </w:tcPr>
          <w:p w:rsidR="00B8517F" w:rsidRPr="00B8517F" w:rsidRDefault="00B8517F" w:rsidP="00FE1030">
            <w:pPr>
              <w:pStyle w:val="af1"/>
              <w:ind w:right="-95"/>
              <w:jc w:val="center"/>
              <w:rPr>
                <w:rFonts w:ascii="Times New Roman" w:hAnsi="Times New Roman" w:cs="Times New Roman"/>
                <w:b/>
                <w:sz w:val="24"/>
                <w:szCs w:val="23"/>
                <w:lang w:val="uk-UA"/>
              </w:rPr>
            </w:pPr>
            <w:r w:rsidRPr="00B8517F">
              <w:rPr>
                <w:rFonts w:ascii="Times New Roman" w:hAnsi="Times New Roman" w:cs="Times New Roman"/>
                <w:b/>
                <w:sz w:val="24"/>
                <w:szCs w:val="23"/>
                <w:lang w:val="uk-UA"/>
              </w:rPr>
              <w:t>Ризики, зазначені у минулорічній оцінці фіскальних ризиків</w:t>
            </w:r>
          </w:p>
        </w:tc>
        <w:tc>
          <w:tcPr>
            <w:tcW w:w="5670" w:type="dxa"/>
          </w:tcPr>
          <w:p w:rsidR="00B8517F" w:rsidRPr="00B8517F" w:rsidRDefault="00B8517F" w:rsidP="00FE1030">
            <w:pPr>
              <w:pStyle w:val="af1"/>
              <w:ind w:right="-86"/>
              <w:jc w:val="center"/>
              <w:rPr>
                <w:rFonts w:ascii="Times New Roman" w:hAnsi="Times New Roman" w:cs="Times New Roman"/>
                <w:b/>
                <w:sz w:val="24"/>
                <w:szCs w:val="23"/>
                <w:lang w:val="uk-UA"/>
              </w:rPr>
            </w:pPr>
            <w:r w:rsidRPr="00B8517F">
              <w:rPr>
                <w:rFonts w:ascii="Times New Roman" w:hAnsi="Times New Roman" w:cs="Times New Roman"/>
                <w:b/>
                <w:sz w:val="24"/>
                <w:szCs w:val="23"/>
                <w:lang w:val="uk-UA"/>
              </w:rPr>
              <w:t>Справдження</w:t>
            </w:r>
          </w:p>
        </w:tc>
      </w:tr>
      <w:tr w:rsidR="00B8517F" w:rsidRPr="00B8517F" w:rsidTr="00FE1030">
        <w:trPr>
          <w:trHeight w:val="774"/>
        </w:trPr>
        <w:tc>
          <w:tcPr>
            <w:tcW w:w="567" w:type="dxa"/>
          </w:tcPr>
          <w:p w:rsidR="00B8517F" w:rsidRPr="00B8517F" w:rsidRDefault="00B8517F" w:rsidP="00FE1030">
            <w:pPr>
              <w:pStyle w:val="af1"/>
              <w:spacing w:line="316" w:lineRule="auto"/>
              <w:ind w:right="947"/>
              <w:jc w:val="center"/>
              <w:rPr>
                <w:rFonts w:ascii="Times New Roman" w:hAnsi="Times New Roman" w:cs="Times New Roman"/>
                <w:sz w:val="24"/>
                <w:szCs w:val="23"/>
                <w:lang w:val="uk-UA"/>
              </w:rPr>
            </w:pPr>
            <w:r w:rsidRPr="00B8517F">
              <w:rPr>
                <w:rFonts w:ascii="Times New Roman" w:hAnsi="Times New Roman" w:cs="Times New Roman"/>
                <w:sz w:val="24"/>
                <w:szCs w:val="23"/>
                <w:lang w:val="uk-UA"/>
              </w:rPr>
              <w:t>1</w:t>
            </w:r>
          </w:p>
        </w:tc>
        <w:tc>
          <w:tcPr>
            <w:tcW w:w="3686" w:type="dxa"/>
          </w:tcPr>
          <w:p w:rsidR="00B8517F" w:rsidRPr="00B8517F" w:rsidRDefault="00B8517F" w:rsidP="00FE1030">
            <w:pPr>
              <w:rPr>
                <w:rFonts w:ascii="Times New Roman" w:hAnsi="Times New Roman" w:cs="Times New Roman"/>
                <w:spacing w:val="-6"/>
                <w:sz w:val="24"/>
                <w:szCs w:val="23"/>
              </w:rPr>
            </w:pPr>
            <w:r w:rsidRPr="00B8517F">
              <w:rPr>
                <w:rFonts w:ascii="Times New Roman" w:hAnsi="Times New Roman" w:cs="Times New Roman"/>
                <w:spacing w:val="-6"/>
                <w:sz w:val="24"/>
                <w:szCs w:val="23"/>
              </w:rPr>
              <w:t>Значне зниження обсягів транзиту природного газу з Російської Федерації територією України</w:t>
            </w:r>
          </w:p>
          <w:p w:rsidR="00B8517F" w:rsidRPr="00B8517F" w:rsidRDefault="00B8517F" w:rsidP="00FE1030">
            <w:pPr>
              <w:rPr>
                <w:rFonts w:ascii="Times New Roman" w:hAnsi="Times New Roman" w:cs="Times New Roman"/>
                <w:b/>
                <w:sz w:val="24"/>
                <w:szCs w:val="23"/>
              </w:rPr>
            </w:pPr>
            <w:r w:rsidRPr="00B8517F">
              <w:rPr>
                <w:rFonts w:ascii="Times New Roman" w:hAnsi="Times New Roman" w:cs="Times New Roman"/>
                <w:b/>
                <w:sz w:val="24"/>
                <w:szCs w:val="23"/>
              </w:rPr>
              <w:t xml:space="preserve">Оцінка впливу «мінус» 0,6 в. п. </w:t>
            </w:r>
          </w:p>
        </w:tc>
        <w:tc>
          <w:tcPr>
            <w:tcW w:w="5670" w:type="dxa"/>
          </w:tcPr>
          <w:p w:rsidR="00B8517F" w:rsidRPr="00B8517F" w:rsidRDefault="00B8517F" w:rsidP="00FE1030">
            <w:pPr>
              <w:pStyle w:val="af1"/>
              <w:ind w:right="-86"/>
              <w:jc w:val="both"/>
              <w:rPr>
                <w:rFonts w:ascii="Times New Roman" w:hAnsi="Times New Roman" w:cs="Times New Roman"/>
                <w:b/>
                <w:sz w:val="24"/>
                <w:szCs w:val="23"/>
                <w:lang w:val="uk-UA"/>
              </w:rPr>
            </w:pPr>
            <w:r w:rsidRPr="00B8517F">
              <w:rPr>
                <w:rFonts w:ascii="Times New Roman" w:hAnsi="Times New Roman" w:cs="Times New Roman"/>
                <w:b/>
                <w:sz w:val="24"/>
                <w:szCs w:val="23"/>
                <w:lang w:val="uk-UA"/>
              </w:rPr>
              <w:t xml:space="preserve">Частково справдилось. </w:t>
            </w:r>
          </w:p>
          <w:p w:rsidR="00B8517F" w:rsidRPr="00B8517F" w:rsidRDefault="00B8517F" w:rsidP="00FE1030">
            <w:pPr>
              <w:pStyle w:val="af"/>
              <w:spacing w:before="90" w:beforeAutospacing="0" w:after="90" w:afterAutospacing="0"/>
              <w:jc w:val="both"/>
              <w:rPr>
                <w:spacing w:val="-6"/>
                <w:szCs w:val="23"/>
              </w:rPr>
            </w:pPr>
            <w:r w:rsidRPr="00B8517F">
              <w:rPr>
                <w:spacing w:val="-6"/>
                <w:szCs w:val="23"/>
              </w:rPr>
              <w:t xml:space="preserve">На фоні будівництва нових транзитних </w:t>
            </w:r>
            <w:proofErr w:type="spellStart"/>
            <w:r w:rsidRPr="00B8517F">
              <w:rPr>
                <w:spacing w:val="-6"/>
                <w:szCs w:val="23"/>
              </w:rPr>
              <w:t>потужностей</w:t>
            </w:r>
            <w:proofErr w:type="spellEnd"/>
            <w:r w:rsidRPr="00B8517F">
              <w:rPr>
                <w:spacing w:val="-6"/>
                <w:szCs w:val="23"/>
              </w:rPr>
              <w:t xml:space="preserve"> спостерігається поступове зниження обсягів транзиту природного газу територією України. Так, після запуску Турецького Потоку 1 та 2 транзит до Туреччини, Греції та Болгарії повністю перейшов з України до нових </w:t>
            </w:r>
            <w:proofErr w:type="spellStart"/>
            <w:r w:rsidRPr="00B8517F">
              <w:rPr>
                <w:spacing w:val="-6"/>
                <w:szCs w:val="23"/>
              </w:rPr>
              <w:t>газогонів</w:t>
            </w:r>
            <w:proofErr w:type="spellEnd"/>
            <w:r w:rsidRPr="00B8517F">
              <w:rPr>
                <w:spacing w:val="-6"/>
                <w:szCs w:val="23"/>
              </w:rPr>
              <w:t>.</w:t>
            </w:r>
          </w:p>
          <w:p w:rsidR="00B8517F" w:rsidRPr="00B8517F" w:rsidRDefault="00B8517F" w:rsidP="00FE1030">
            <w:pPr>
              <w:pStyle w:val="af"/>
              <w:spacing w:before="90" w:beforeAutospacing="0" w:after="90" w:afterAutospacing="0"/>
              <w:jc w:val="both"/>
              <w:rPr>
                <w:spacing w:val="-6"/>
                <w:szCs w:val="23"/>
              </w:rPr>
            </w:pPr>
            <w:r w:rsidRPr="00B8517F">
              <w:rPr>
                <w:spacing w:val="-6"/>
                <w:szCs w:val="23"/>
              </w:rPr>
              <w:t>А з 01 квітня 2021 року і постачання газу до Румунії повністю забезпечується зі сторони Болгарії через Турецький Потік 2.</w:t>
            </w:r>
          </w:p>
          <w:p w:rsidR="00B8517F" w:rsidRPr="00B8517F" w:rsidRDefault="00B8517F" w:rsidP="00FE1030">
            <w:pPr>
              <w:pStyle w:val="af"/>
              <w:spacing w:before="90" w:beforeAutospacing="0" w:after="90" w:afterAutospacing="0"/>
              <w:jc w:val="both"/>
              <w:rPr>
                <w:spacing w:val="-6"/>
                <w:szCs w:val="23"/>
              </w:rPr>
            </w:pPr>
            <w:r w:rsidRPr="00B8517F">
              <w:rPr>
                <w:spacing w:val="-6"/>
                <w:szCs w:val="23"/>
              </w:rPr>
              <w:t xml:space="preserve">Однак відтермінування реалізації Північного потоку 2 та наявність чинного контракту між «Нафтогазом» та «Газпромом» до 2024 року не дозволяє повністю перенести транзит природного газу з території України на інші </w:t>
            </w:r>
            <w:proofErr w:type="spellStart"/>
            <w:r w:rsidRPr="00B8517F">
              <w:rPr>
                <w:spacing w:val="-6"/>
                <w:szCs w:val="23"/>
              </w:rPr>
              <w:t>газогони</w:t>
            </w:r>
            <w:proofErr w:type="spellEnd"/>
            <w:r w:rsidRPr="00B8517F">
              <w:rPr>
                <w:spacing w:val="-6"/>
                <w:szCs w:val="23"/>
              </w:rPr>
              <w:t xml:space="preserve">.  </w:t>
            </w:r>
          </w:p>
          <w:p w:rsidR="00B8517F" w:rsidRPr="00B8517F" w:rsidRDefault="00B8517F" w:rsidP="00FE1030">
            <w:pPr>
              <w:pStyle w:val="af"/>
              <w:spacing w:before="90" w:beforeAutospacing="0" w:after="90" w:afterAutospacing="0"/>
              <w:jc w:val="both"/>
              <w:rPr>
                <w:spacing w:val="-6"/>
                <w:szCs w:val="23"/>
              </w:rPr>
            </w:pPr>
            <w:r w:rsidRPr="00B8517F">
              <w:rPr>
                <w:spacing w:val="-6"/>
                <w:szCs w:val="23"/>
              </w:rPr>
              <w:t xml:space="preserve">За даними ТОВ «Оператор ГТС України», транзит природного газу через газотранспортну систему України в січні – червні 2021 року становив 21,7 млрд куб. м, що на 13% менше ніж за аналогічний період </w:t>
            </w:r>
            <w:r w:rsidRPr="00B8517F">
              <w:rPr>
                <w:spacing w:val="-6"/>
                <w:szCs w:val="23"/>
              </w:rPr>
              <w:br/>
              <w:t>2020 року (24,9 млрд куб. м).</w:t>
            </w:r>
          </w:p>
          <w:p w:rsidR="00B8517F" w:rsidRPr="00B8517F" w:rsidRDefault="00B8517F" w:rsidP="00FE1030">
            <w:pPr>
              <w:pStyle w:val="af"/>
              <w:spacing w:before="90" w:beforeAutospacing="0" w:after="90" w:afterAutospacing="0"/>
              <w:jc w:val="both"/>
              <w:rPr>
                <w:spacing w:val="-6"/>
                <w:szCs w:val="23"/>
              </w:rPr>
            </w:pPr>
          </w:p>
        </w:tc>
      </w:tr>
      <w:tr w:rsidR="00B8517F" w:rsidRPr="00B8517F" w:rsidTr="00FE1030">
        <w:tc>
          <w:tcPr>
            <w:tcW w:w="567" w:type="dxa"/>
          </w:tcPr>
          <w:p w:rsidR="00B8517F" w:rsidRPr="00B8517F" w:rsidRDefault="00B8517F" w:rsidP="00FE1030">
            <w:pPr>
              <w:pStyle w:val="af1"/>
              <w:ind w:right="-86"/>
              <w:rPr>
                <w:rFonts w:ascii="Times New Roman" w:hAnsi="Times New Roman" w:cs="Times New Roman"/>
                <w:sz w:val="24"/>
                <w:szCs w:val="23"/>
                <w:lang w:val="uk-UA"/>
              </w:rPr>
            </w:pPr>
            <w:r w:rsidRPr="00B8517F">
              <w:rPr>
                <w:rFonts w:ascii="Times New Roman" w:hAnsi="Times New Roman" w:cs="Times New Roman"/>
                <w:sz w:val="24"/>
                <w:szCs w:val="23"/>
                <w:lang w:val="uk-UA"/>
              </w:rPr>
              <w:t>2</w:t>
            </w:r>
          </w:p>
        </w:tc>
        <w:tc>
          <w:tcPr>
            <w:tcW w:w="3686" w:type="dxa"/>
          </w:tcPr>
          <w:p w:rsidR="00B8517F" w:rsidRPr="00B8517F" w:rsidRDefault="00B8517F" w:rsidP="00FE1030">
            <w:pPr>
              <w:rPr>
                <w:rFonts w:ascii="Times New Roman" w:hAnsi="Times New Roman" w:cs="Times New Roman"/>
                <w:spacing w:val="-6"/>
                <w:sz w:val="24"/>
                <w:szCs w:val="23"/>
              </w:rPr>
            </w:pPr>
            <w:r w:rsidRPr="00B8517F">
              <w:rPr>
                <w:rFonts w:ascii="Times New Roman" w:hAnsi="Times New Roman" w:cs="Times New Roman"/>
                <w:spacing w:val="-6"/>
                <w:sz w:val="24"/>
                <w:szCs w:val="23"/>
              </w:rPr>
              <w:t xml:space="preserve">Посилення гібридних загроз національній економіці з боку Російської Федерації </w:t>
            </w:r>
          </w:p>
          <w:p w:rsidR="00B8517F" w:rsidRPr="00B8517F" w:rsidRDefault="00B8517F" w:rsidP="00FE1030">
            <w:pPr>
              <w:rPr>
                <w:rFonts w:ascii="Times New Roman" w:hAnsi="Times New Roman" w:cs="Times New Roman"/>
                <w:b/>
                <w:spacing w:val="-6"/>
                <w:sz w:val="24"/>
                <w:szCs w:val="23"/>
              </w:rPr>
            </w:pPr>
            <w:r w:rsidRPr="00B8517F">
              <w:rPr>
                <w:rFonts w:ascii="Times New Roman" w:hAnsi="Times New Roman" w:cs="Times New Roman"/>
                <w:b/>
                <w:spacing w:val="-6"/>
                <w:sz w:val="24"/>
                <w:szCs w:val="23"/>
              </w:rPr>
              <w:t xml:space="preserve">Оцінка впливу </w:t>
            </w:r>
            <w:r w:rsidRPr="00B8517F">
              <w:rPr>
                <w:rFonts w:ascii="Times New Roman" w:hAnsi="Times New Roman" w:cs="Times New Roman"/>
                <w:b/>
                <w:sz w:val="24"/>
                <w:szCs w:val="23"/>
              </w:rPr>
              <w:t>«мінус» 0,2 в. п.</w:t>
            </w:r>
            <w:r w:rsidRPr="00B8517F">
              <w:rPr>
                <w:rFonts w:ascii="Times New Roman" w:hAnsi="Times New Roman" w:cs="Times New Roman"/>
                <w:sz w:val="24"/>
                <w:szCs w:val="23"/>
              </w:rPr>
              <w:t xml:space="preserve"> </w:t>
            </w:r>
          </w:p>
        </w:tc>
        <w:tc>
          <w:tcPr>
            <w:tcW w:w="5670" w:type="dxa"/>
          </w:tcPr>
          <w:p w:rsidR="00B8517F" w:rsidRPr="00B8517F" w:rsidRDefault="00B8517F" w:rsidP="00FE1030">
            <w:pPr>
              <w:pStyle w:val="af1"/>
              <w:ind w:right="-86"/>
              <w:jc w:val="both"/>
              <w:rPr>
                <w:rFonts w:ascii="Times New Roman" w:hAnsi="Times New Roman" w:cs="Times New Roman"/>
                <w:b/>
                <w:sz w:val="24"/>
                <w:szCs w:val="23"/>
                <w:lang w:val="uk-UA"/>
              </w:rPr>
            </w:pPr>
            <w:r w:rsidRPr="00B8517F">
              <w:rPr>
                <w:rFonts w:ascii="Times New Roman" w:hAnsi="Times New Roman" w:cs="Times New Roman"/>
                <w:b/>
                <w:sz w:val="24"/>
                <w:szCs w:val="23"/>
                <w:lang w:val="uk-UA"/>
              </w:rPr>
              <w:t xml:space="preserve">Не справдилось. </w:t>
            </w:r>
          </w:p>
          <w:p w:rsidR="00B8517F" w:rsidRPr="00B8517F" w:rsidRDefault="00B8517F" w:rsidP="00FE1030">
            <w:pPr>
              <w:jc w:val="both"/>
              <w:rPr>
                <w:rFonts w:ascii="Times New Roman" w:hAnsi="Times New Roman" w:cs="Times New Roman"/>
                <w:b/>
                <w:sz w:val="24"/>
                <w:szCs w:val="23"/>
              </w:rPr>
            </w:pPr>
          </w:p>
        </w:tc>
      </w:tr>
      <w:tr w:rsidR="00B8517F" w:rsidRPr="00B8517F" w:rsidTr="00FE1030">
        <w:tc>
          <w:tcPr>
            <w:tcW w:w="567" w:type="dxa"/>
          </w:tcPr>
          <w:p w:rsidR="00B8517F" w:rsidRPr="00B8517F" w:rsidRDefault="00B8517F" w:rsidP="00FE1030">
            <w:pPr>
              <w:pStyle w:val="af1"/>
              <w:spacing w:line="316" w:lineRule="auto"/>
              <w:ind w:right="947"/>
              <w:jc w:val="center"/>
              <w:rPr>
                <w:rFonts w:ascii="Times New Roman" w:hAnsi="Times New Roman" w:cs="Times New Roman"/>
                <w:sz w:val="24"/>
                <w:szCs w:val="23"/>
                <w:lang w:val="uk-UA"/>
              </w:rPr>
            </w:pPr>
            <w:r w:rsidRPr="00B8517F">
              <w:rPr>
                <w:rFonts w:ascii="Times New Roman" w:hAnsi="Times New Roman" w:cs="Times New Roman"/>
                <w:sz w:val="24"/>
                <w:szCs w:val="23"/>
                <w:lang w:val="uk-UA"/>
              </w:rPr>
              <w:t>3</w:t>
            </w:r>
          </w:p>
        </w:tc>
        <w:tc>
          <w:tcPr>
            <w:tcW w:w="3686" w:type="dxa"/>
          </w:tcPr>
          <w:p w:rsidR="00B8517F" w:rsidRPr="00B8517F" w:rsidRDefault="00B8517F" w:rsidP="00FE1030">
            <w:pPr>
              <w:rPr>
                <w:rFonts w:ascii="Times New Roman" w:hAnsi="Times New Roman" w:cs="Times New Roman"/>
                <w:spacing w:val="-6"/>
                <w:sz w:val="24"/>
                <w:szCs w:val="23"/>
              </w:rPr>
            </w:pPr>
            <w:r w:rsidRPr="00B8517F">
              <w:rPr>
                <w:rFonts w:ascii="Times New Roman" w:hAnsi="Times New Roman" w:cs="Times New Roman"/>
                <w:spacing w:val="-6"/>
                <w:sz w:val="24"/>
                <w:szCs w:val="23"/>
              </w:rPr>
              <w:t xml:space="preserve">Формування суттєвого дисбалансу на ринку праці, скорочення зайнятості  </w:t>
            </w:r>
          </w:p>
          <w:p w:rsidR="00B8517F" w:rsidRPr="00B8517F" w:rsidRDefault="00B8517F" w:rsidP="00FE1030">
            <w:pPr>
              <w:pStyle w:val="af1"/>
              <w:spacing w:line="316" w:lineRule="auto"/>
              <w:ind w:right="-106"/>
              <w:jc w:val="both"/>
              <w:rPr>
                <w:rFonts w:ascii="Times New Roman" w:hAnsi="Times New Roman" w:cs="Times New Roman"/>
                <w:b/>
                <w:sz w:val="24"/>
                <w:szCs w:val="23"/>
                <w:lang w:val="uk-UA"/>
              </w:rPr>
            </w:pPr>
            <w:r w:rsidRPr="00B8517F">
              <w:rPr>
                <w:rFonts w:ascii="Times New Roman" w:hAnsi="Times New Roman" w:cs="Times New Roman"/>
                <w:b/>
                <w:sz w:val="24"/>
                <w:szCs w:val="23"/>
                <w:lang w:val="uk-UA"/>
              </w:rPr>
              <w:t xml:space="preserve">Оцінка впливу «мінус»1,1 в. п. </w:t>
            </w:r>
          </w:p>
        </w:tc>
        <w:tc>
          <w:tcPr>
            <w:tcW w:w="5670" w:type="dxa"/>
          </w:tcPr>
          <w:p w:rsidR="00B8517F" w:rsidRPr="00B8517F" w:rsidRDefault="00B8517F" w:rsidP="00FE1030">
            <w:pPr>
              <w:pStyle w:val="af1"/>
              <w:ind w:right="-86"/>
              <w:jc w:val="both"/>
              <w:rPr>
                <w:rFonts w:ascii="Times New Roman" w:hAnsi="Times New Roman" w:cs="Times New Roman"/>
                <w:b/>
                <w:sz w:val="24"/>
                <w:szCs w:val="23"/>
                <w:lang w:val="uk-UA"/>
              </w:rPr>
            </w:pPr>
            <w:r w:rsidRPr="00B8517F">
              <w:rPr>
                <w:rFonts w:ascii="Times New Roman" w:hAnsi="Times New Roman" w:cs="Times New Roman"/>
                <w:b/>
                <w:sz w:val="24"/>
                <w:szCs w:val="23"/>
                <w:lang w:val="uk-UA"/>
              </w:rPr>
              <w:t xml:space="preserve">Частково справдилось. </w:t>
            </w:r>
          </w:p>
          <w:p w:rsidR="00B8517F" w:rsidRPr="00B8517F" w:rsidRDefault="00B8517F" w:rsidP="00FE1030">
            <w:pPr>
              <w:jc w:val="both"/>
              <w:rPr>
                <w:rFonts w:ascii="Times New Roman" w:hAnsi="Times New Roman" w:cs="Times New Roman"/>
                <w:spacing w:val="-6"/>
                <w:sz w:val="24"/>
                <w:szCs w:val="23"/>
              </w:rPr>
            </w:pPr>
            <w:r w:rsidRPr="00B8517F">
              <w:rPr>
                <w:rFonts w:ascii="Times New Roman" w:hAnsi="Times New Roman" w:cs="Times New Roman"/>
                <w:spacing w:val="-6"/>
                <w:sz w:val="24"/>
                <w:szCs w:val="23"/>
              </w:rPr>
              <w:t>У І кварталі 2021 року на ринок праці все ще негативно впливало тимчасове обмеження економічної діяльності певних секторів, та, відповідно, зменшення попиту на певні товари й послуги вітчизняних підприємств в Україні та за кордоном, що відповідним чином зменшувало потребу в робочій силі. Так, бізнес обережно ставився до найму працівників, а люди – до пошуку роботи через негативні очікування щодо нових хвиль пандемії та пов’язаних з ними обмежень. Водночас криза, спричинена COVID-19, здійснила революцію на ринку праці України та світу, активізуючи розширення різних варіантів віддаленої роботи. Також відбувалося збереження трудових прав за працівниками та прав внутрішньо переміщених осіб у період дії карантинних обмежень, що певним чином пом’якшувало ситуацію на ринку праці.</w:t>
            </w:r>
          </w:p>
        </w:tc>
      </w:tr>
      <w:tr w:rsidR="00B8517F" w:rsidRPr="00B8517F" w:rsidTr="00FE1030">
        <w:tc>
          <w:tcPr>
            <w:tcW w:w="567" w:type="dxa"/>
          </w:tcPr>
          <w:p w:rsidR="00B8517F" w:rsidRPr="00B8517F" w:rsidRDefault="00B8517F" w:rsidP="00FE1030">
            <w:pPr>
              <w:pStyle w:val="af1"/>
              <w:spacing w:line="316" w:lineRule="auto"/>
              <w:ind w:right="947"/>
              <w:jc w:val="center"/>
              <w:rPr>
                <w:rFonts w:ascii="Times New Roman" w:hAnsi="Times New Roman" w:cs="Times New Roman"/>
                <w:sz w:val="24"/>
                <w:szCs w:val="23"/>
                <w:lang w:val="uk-UA"/>
              </w:rPr>
            </w:pPr>
            <w:r w:rsidRPr="00B8517F">
              <w:rPr>
                <w:rFonts w:ascii="Times New Roman" w:hAnsi="Times New Roman" w:cs="Times New Roman"/>
                <w:sz w:val="24"/>
                <w:szCs w:val="23"/>
                <w:lang w:val="uk-UA"/>
              </w:rPr>
              <w:t>4</w:t>
            </w:r>
          </w:p>
        </w:tc>
        <w:tc>
          <w:tcPr>
            <w:tcW w:w="3686" w:type="dxa"/>
          </w:tcPr>
          <w:p w:rsidR="00B8517F" w:rsidRPr="00B8517F" w:rsidRDefault="00B8517F" w:rsidP="00FE1030">
            <w:pPr>
              <w:rPr>
                <w:rFonts w:ascii="Times New Roman" w:hAnsi="Times New Roman" w:cs="Times New Roman"/>
                <w:spacing w:val="-6"/>
                <w:sz w:val="24"/>
                <w:szCs w:val="23"/>
              </w:rPr>
            </w:pPr>
            <w:r w:rsidRPr="00B8517F">
              <w:rPr>
                <w:rFonts w:ascii="Times New Roman" w:hAnsi="Times New Roman" w:cs="Times New Roman"/>
                <w:spacing w:val="-6"/>
                <w:sz w:val="24"/>
                <w:szCs w:val="23"/>
              </w:rPr>
              <w:t>Дефіцит зовнішнього фінансування та звуження доступу до міжнародних ринків капіталів</w:t>
            </w:r>
          </w:p>
          <w:p w:rsidR="00B8517F" w:rsidRPr="00B8517F" w:rsidRDefault="00B8517F" w:rsidP="00FE1030">
            <w:pPr>
              <w:rPr>
                <w:rFonts w:ascii="Times New Roman" w:hAnsi="Times New Roman" w:cs="Times New Roman"/>
                <w:b/>
                <w:spacing w:val="-6"/>
                <w:sz w:val="24"/>
                <w:szCs w:val="23"/>
              </w:rPr>
            </w:pPr>
            <w:r w:rsidRPr="00B8517F">
              <w:rPr>
                <w:rFonts w:ascii="Times New Roman" w:hAnsi="Times New Roman" w:cs="Times New Roman"/>
                <w:b/>
                <w:spacing w:val="-6"/>
                <w:sz w:val="24"/>
                <w:szCs w:val="23"/>
              </w:rPr>
              <w:t xml:space="preserve">Оцінка впливу </w:t>
            </w:r>
            <w:r w:rsidRPr="00B8517F">
              <w:rPr>
                <w:rFonts w:ascii="Times New Roman" w:hAnsi="Times New Roman" w:cs="Times New Roman"/>
                <w:b/>
                <w:sz w:val="24"/>
                <w:szCs w:val="23"/>
              </w:rPr>
              <w:t>«мінус» 0,7 в. п.</w:t>
            </w:r>
            <w:r w:rsidRPr="00B8517F">
              <w:rPr>
                <w:rFonts w:ascii="Times New Roman" w:hAnsi="Times New Roman" w:cs="Times New Roman"/>
                <w:spacing w:val="-6"/>
                <w:sz w:val="24"/>
                <w:szCs w:val="23"/>
              </w:rPr>
              <w:t xml:space="preserve"> </w:t>
            </w:r>
          </w:p>
        </w:tc>
        <w:tc>
          <w:tcPr>
            <w:tcW w:w="5670" w:type="dxa"/>
          </w:tcPr>
          <w:p w:rsidR="00B8517F" w:rsidRPr="00B8517F" w:rsidRDefault="00B8517F" w:rsidP="00FE1030">
            <w:pPr>
              <w:pStyle w:val="af1"/>
              <w:ind w:right="-86"/>
              <w:jc w:val="both"/>
              <w:rPr>
                <w:rFonts w:ascii="Times New Roman" w:hAnsi="Times New Roman" w:cs="Times New Roman"/>
                <w:b/>
                <w:sz w:val="24"/>
                <w:szCs w:val="23"/>
                <w:lang w:val="uk-UA"/>
              </w:rPr>
            </w:pPr>
            <w:r w:rsidRPr="00B8517F">
              <w:rPr>
                <w:rFonts w:ascii="Times New Roman" w:hAnsi="Times New Roman" w:cs="Times New Roman"/>
                <w:b/>
                <w:sz w:val="24"/>
                <w:szCs w:val="23"/>
                <w:lang w:val="uk-UA"/>
              </w:rPr>
              <w:t xml:space="preserve">Не справдилось. </w:t>
            </w:r>
          </w:p>
          <w:p w:rsidR="00B8517F" w:rsidRPr="00B8517F" w:rsidRDefault="00B8517F" w:rsidP="00FE1030">
            <w:pPr>
              <w:pStyle w:val="af1"/>
              <w:ind w:right="-106"/>
              <w:rPr>
                <w:rFonts w:ascii="Times New Roman" w:hAnsi="Times New Roman" w:cs="Times New Roman"/>
                <w:b/>
                <w:sz w:val="24"/>
                <w:szCs w:val="23"/>
                <w:lang w:val="uk-UA"/>
              </w:rPr>
            </w:pPr>
            <w:r w:rsidRPr="00B8517F">
              <w:rPr>
                <w:rFonts w:ascii="Times New Roman" w:hAnsi="Times New Roman" w:cs="Times New Roman"/>
                <w:spacing w:val="-6"/>
                <w:sz w:val="24"/>
                <w:szCs w:val="23"/>
                <w:lang w:val="uk-UA"/>
              </w:rPr>
              <w:t>Монетарне пом’якшення з боку ключових центробанків світу значно покращило умови та доступ країн з економікою, що розвивається, до міжнародних ринків капіталу.</w:t>
            </w:r>
          </w:p>
        </w:tc>
      </w:tr>
      <w:tr w:rsidR="00B8517F" w:rsidRPr="00B8517F" w:rsidTr="00FE1030">
        <w:tc>
          <w:tcPr>
            <w:tcW w:w="567" w:type="dxa"/>
          </w:tcPr>
          <w:p w:rsidR="00B8517F" w:rsidRPr="00B8517F" w:rsidRDefault="00B8517F" w:rsidP="00FE1030">
            <w:pPr>
              <w:pStyle w:val="af1"/>
              <w:spacing w:line="316" w:lineRule="auto"/>
              <w:ind w:right="947"/>
              <w:jc w:val="center"/>
              <w:rPr>
                <w:rFonts w:ascii="Times New Roman" w:hAnsi="Times New Roman" w:cs="Times New Roman"/>
                <w:sz w:val="24"/>
                <w:szCs w:val="23"/>
                <w:lang w:val="uk-UA"/>
              </w:rPr>
            </w:pPr>
            <w:r w:rsidRPr="00B8517F">
              <w:rPr>
                <w:rFonts w:ascii="Times New Roman" w:hAnsi="Times New Roman" w:cs="Times New Roman"/>
                <w:sz w:val="24"/>
                <w:szCs w:val="23"/>
                <w:lang w:val="uk-UA"/>
              </w:rPr>
              <w:t>5</w:t>
            </w:r>
          </w:p>
        </w:tc>
        <w:tc>
          <w:tcPr>
            <w:tcW w:w="3686" w:type="dxa"/>
          </w:tcPr>
          <w:p w:rsidR="00B8517F" w:rsidRPr="00B8517F" w:rsidRDefault="00B8517F" w:rsidP="00FE1030">
            <w:pPr>
              <w:pStyle w:val="af1"/>
              <w:ind w:right="-86"/>
              <w:jc w:val="both"/>
              <w:rPr>
                <w:rFonts w:ascii="Times New Roman" w:hAnsi="Times New Roman" w:cs="Times New Roman"/>
                <w:sz w:val="24"/>
                <w:szCs w:val="23"/>
                <w:lang w:val="uk-UA"/>
              </w:rPr>
            </w:pPr>
            <w:r w:rsidRPr="00B8517F">
              <w:rPr>
                <w:rFonts w:ascii="Times New Roman" w:hAnsi="Times New Roman" w:cs="Times New Roman"/>
                <w:sz w:val="24"/>
                <w:szCs w:val="23"/>
                <w:lang w:val="uk-UA"/>
              </w:rPr>
              <w:t xml:space="preserve">Отримання низького врожаю зернових культур. </w:t>
            </w:r>
          </w:p>
          <w:p w:rsidR="00B8517F" w:rsidRPr="00B8517F" w:rsidRDefault="00B8517F" w:rsidP="00FE1030">
            <w:pPr>
              <w:pStyle w:val="af1"/>
              <w:ind w:right="-86"/>
              <w:jc w:val="both"/>
              <w:rPr>
                <w:rFonts w:ascii="Times New Roman" w:hAnsi="Times New Roman" w:cs="Times New Roman"/>
                <w:sz w:val="24"/>
                <w:szCs w:val="23"/>
                <w:lang w:val="uk-UA"/>
              </w:rPr>
            </w:pPr>
            <w:r w:rsidRPr="00B8517F">
              <w:rPr>
                <w:rFonts w:ascii="Times New Roman" w:hAnsi="Times New Roman" w:cs="Times New Roman"/>
                <w:b/>
                <w:spacing w:val="-6"/>
                <w:sz w:val="24"/>
                <w:szCs w:val="23"/>
                <w:lang w:val="uk-UA"/>
              </w:rPr>
              <w:t>Оцінка впливу</w:t>
            </w:r>
            <w:r w:rsidRPr="00B8517F">
              <w:rPr>
                <w:rFonts w:ascii="Times New Roman" w:hAnsi="Times New Roman" w:cs="Times New Roman"/>
                <w:b/>
                <w:sz w:val="24"/>
                <w:szCs w:val="23"/>
                <w:lang w:val="uk-UA"/>
              </w:rPr>
              <w:t xml:space="preserve"> «мінус» 0,9 в. п.</w:t>
            </w:r>
          </w:p>
        </w:tc>
        <w:tc>
          <w:tcPr>
            <w:tcW w:w="5670" w:type="dxa"/>
          </w:tcPr>
          <w:p w:rsidR="00B8517F" w:rsidRPr="00B8517F" w:rsidRDefault="00B8517F" w:rsidP="00FE1030">
            <w:pPr>
              <w:pStyle w:val="af1"/>
              <w:ind w:right="-86"/>
              <w:jc w:val="both"/>
              <w:rPr>
                <w:rFonts w:ascii="Times New Roman" w:hAnsi="Times New Roman" w:cs="Times New Roman"/>
                <w:b/>
                <w:sz w:val="24"/>
                <w:szCs w:val="23"/>
                <w:lang w:val="uk-UA"/>
              </w:rPr>
            </w:pPr>
            <w:r w:rsidRPr="00B8517F">
              <w:rPr>
                <w:rFonts w:ascii="Times New Roman" w:hAnsi="Times New Roman" w:cs="Times New Roman"/>
                <w:b/>
                <w:sz w:val="24"/>
                <w:szCs w:val="23"/>
                <w:lang w:val="uk-UA"/>
              </w:rPr>
              <w:t xml:space="preserve">Не справдилось. </w:t>
            </w:r>
          </w:p>
          <w:p w:rsidR="00B8517F" w:rsidRPr="00B8517F" w:rsidRDefault="00B8517F" w:rsidP="00FE1030">
            <w:pPr>
              <w:rPr>
                <w:rFonts w:ascii="Times New Roman" w:hAnsi="Times New Roman" w:cs="Times New Roman"/>
                <w:b/>
                <w:spacing w:val="-6"/>
                <w:sz w:val="24"/>
                <w:szCs w:val="23"/>
                <w:lang w:val="ru-RU"/>
              </w:rPr>
            </w:pPr>
          </w:p>
        </w:tc>
      </w:tr>
    </w:tbl>
    <w:p w:rsidR="00B8517F" w:rsidRPr="00B8517F" w:rsidRDefault="00B8517F" w:rsidP="00B8517F">
      <w:pPr>
        <w:pStyle w:val="af1"/>
        <w:spacing w:line="316" w:lineRule="auto"/>
        <w:jc w:val="both"/>
        <w:rPr>
          <w:rFonts w:ascii="Times New Roman" w:hAnsi="Times New Roman" w:cs="Times New Roman"/>
          <w:i/>
          <w:sz w:val="24"/>
          <w:szCs w:val="24"/>
          <w:lang w:val="uk-UA"/>
        </w:rPr>
      </w:pPr>
      <w:r w:rsidRPr="00B8517F">
        <w:rPr>
          <w:rFonts w:ascii="Times New Roman" w:eastAsia="Times New Roman" w:hAnsi="Times New Roman" w:cs="Times New Roman"/>
          <w:i/>
          <w:sz w:val="24"/>
          <w:szCs w:val="24"/>
          <w:lang w:val="uk-UA" w:eastAsia="ru-RU" w:bidi="ar-SA"/>
        </w:rPr>
        <w:t>Джерело</w:t>
      </w:r>
      <w:r w:rsidRPr="00B8517F">
        <w:rPr>
          <w:rFonts w:ascii="Times New Roman" w:hAnsi="Times New Roman" w:cs="Times New Roman"/>
          <w:i/>
          <w:sz w:val="24"/>
          <w:szCs w:val="24"/>
          <w:lang w:val="uk-UA"/>
        </w:rPr>
        <w:t>: розрахунки Міністерства економіки України.</w:t>
      </w:r>
    </w:p>
    <w:p w:rsidR="00B8517F" w:rsidRPr="00B8517F" w:rsidRDefault="00B8517F" w:rsidP="00B8517F">
      <w:pPr>
        <w:pStyle w:val="a4"/>
        <w:widowControl w:val="0"/>
        <w:numPr>
          <w:ilvl w:val="0"/>
          <w:numId w:val="14"/>
        </w:numPr>
        <w:autoSpaceDE w:val="0"/>
        <w:autoSpaceDN w:val="0"/>
        <w:spacing w:before="240" w:after="0" w:line="240" w:lineRule="auto"/>
        <w:ind w:left="851" w:hanging="284"/>
        <w:contextualSpacing w:val="0"/>
        <w:jc w:val="both"/>
        <w:rPr>
          <w:rFonts w:ascii="Times New Roman" w:eastAsia="Times New Roman" w:hAnsi="Times New Roman" w:cs="Times New Roman"/>
          <w:b/>
          <w:sz w:val="28"/>
          <w:szCs w:val="28"/>
          <w:lang w:eastAsia="ru-RU"/>
        </w:rPr>
      </w:pPr>
      <w:r w:rsidRPr="00B8517F">
        <w:rPr>
          <w:rFonts w:ascii="Times New Roman" w:eastAsia="Times New Roman" w:hAnsi="Times New Roman" w:cs="Times New Roman"/>
          <w:b/>
          <w:sz w:val="28"/>
          <w:szCs w:val="28"/>
          <w:lang w:eastAsia="ru-RU"/>
        </w:rPr>
        <w:t xml:space="preserve">Сценарії макроекономічного прогнозу на 2022 рік </w:t>
      </w:r>
    </w:p>
    <w:p w:rsidR="00B8517F" w:rsidRPr="00B8517F" w:rsidRDefault="00B8517F" w:rsidP="00B8517F">
      <w:pPr>
        <w:shd w:val="clear" w:color="auto" w:fill="FFFFFF"/>
        <w:spacing w:before="240" w:after="120" w:line="240" w:lineRule="auto"/>
        <w:ind w:firstLine="567"/>
        <w:jc w:val="both"/>
        <w:rPr>
          <w:rFonts w:ascii="Times New Roman" w:eastAsia="Times New Roman" w:hAnsi="Times New Roman" w:cs="Times New Roman"/>
          <w:lang w:eastAsia="uk-UA"/>
        </w:rPr>
      </w:pPr>
      <w:r w:rsidRPr="00B8517F">
        <w:rPr>
          <w:rFonts w:ascii="Times New Roman" w:eastAsia="Times New Roman" w:hAnsi="Times New Roman" w:cs="Times New Roman"/>
          <w:b/>
          <w:bCs/>
          <w:sz w:val="24"/>
          <w:szCs w:val="24"/>
          <w:lang w:eastAsia="uk-UA"/>
        </w:rPr>
        <w:t>Базовий сценарій прогнозу</w:t>
      </w:r>
    </w:p>
    <w:p w:rsidR="00B8517F" w:rsidRPr="00B8517F" w:rsidRDefault="00B8517F" w:rsidP="00B8517F">
      <w:pPr>
        <w:pStyle w:val="13"/>
        <w:widowControl w:val="0"/>
        <w:spacing w:before="0" w:after="0"/>
        <w:rPr>
          <w:color w:val="auto"/>
          <w:sz w:val="24"/>
          <w:szCs w:val="28"/>
          <w:shd w:val="clear" w:color="auto" w:fill="FFFFFF"/>
        </w:rPr>
      </w:pPr>
      <w:r w:rsidRPr="00B8517F">
        <w:rPr>
          <w:color w:val="auto"/>
          <w:sz w:val="24"/>
          <w:szCs w:val="28"/>
          <w:shd w:val="clear" w:color="auto" w:fill="FFFFFF"/>
        </w:rPr>
        <w:t xml:space="preserve">Базовий сценарій макроекономічного прогнозу передбачає відновлення економіки вже у 2021 році після значних втрат, що були зафіксовані у 2020 році внаслідок пандемії COVID-19, а також поступове прискорення економічного зростання у середньостроковому періоді. </w:t>
      </w:r>
    </w:p>
    <w:p w:rsidR="00B8517F" w:rsidRPr="00B8517F" w:rsidRDefault="00B8517F" w:rsidP="00B8517F">
      <w:pPr>
        <w:pStyle w:val="13"/>
        <w:widowControl w:val="0"/>
        <w:spacing w:before="0" w:after="0"/>
        <w:rPr>
          <w:color w:val="auto"/>
          <w:sz w:val="24"/>
          <w:szCs w:val="28"/>
          <w:shd w:val="clear" w:color="auto" w:fill="FFFFFF"/>
        </w:rPr>
      </w:pPr>
      <w:r w:rsidRPr="00B8517F">
        <w:rPr>
          <w:color w:val="auto"/>
          <w:sz w:val="24"/>
          <w:szCs w:val="28"/>
          <w:shd w:val="clear" w:color="auto" w:fill="FFFFFF"/>
        </w:rPr>
        <w:t xml:space="preserve">Драйверами подальшого відновлення економічної активності в країні виступатиме як внутрішній, так і зовнішній попит. Відновлення економіки відбуватиметься на фоні прискорення інфляційної динаміки у короткостроковій перспективі, викликаного переважно дією тимчасових зовнішніх факторів, однак на середньостроковому горизонті очікується повернення споживчої інфляції до меж цільового коридору НБУ [5 відсотків ±1 в. п.].  </w:t>
      </w:r>
    </w:p>
    <w:p w:rsidR="00B8517F" w:rsidRPr="00B8517F" w:rsidRDefault="00B8517F" w:rsidP="00B8517F">
      <w:pPr>
        <w:pStyle w:val="13"/>
        <w:widowControl w:val="0"/>
        <w:spacing w:before="0" w:after="0"/>
        <w:rPr>
          <w:color w:val="auto"/>
          <w:sz w:val="24"/>
          <w:szCs w:val="28"/>
          <w:shd w:val="clear" w:color="auto" w:fill="FFFFFF"/>
        </w:rPr>
      </w:pPr>
      <w:r w:rsidRPr="00B8517F">
        <w:rPr>
          <w:color w:val="auto"/>
          <w:sz w:val="24"/>
          <w:szCs w:val="28"/>
          <w:shd w:val="clear" w:color="auto" w:fill="FFFFFF"/>
        </w:rPr>
        <w:t xml:space="preserve">Базовий сценарій прогнозу розрахований виходячи з припущень щодо подальшого пом’якшення карантинних обмежень як в Україні, так і в світі, та збереження сприятливої для України цінової кон’юнктури на світових товарних ринках. </w:t>
      </w:r>
    </w:p>
    <w:p w:rsidR="00B8517F" w:rsidRPr="00B8517F" w:rsidRDefault="00B8517F" w:rsidP="00B8517F">
      <w:pPr>
        <w:pStyle w:val="13"/>
        <w:widowControl w:val="0"/>
        <w:spacing w:before="0" w:after="0"/>
        <w:rPr>
          <w:b/>
          <w:color w:val="auto"/>
          <w:sz w:val="24"/>
        </w:rPr>
      </w:pPr>
      <w:r w:rsidRPr="00B8517F">
        <w:rPr>
          <w:color w:val="auto"/>
          <w:sz w:val="24"/>
          <w:szCs w:val="28"/>
          <w:shd w:val="clear" w:color="auto" w:fill="FFFFFF"/>
        </w:rPr>
        <w:t xml:space="preserve">На економічний розвиток у прогнозний </w:t>
      </w:r>
      <w:proofErr w:type="spellStart"/>
      <w:r w:rsidRPr="00B8517F">
        <w:rPr>
          <w:color w:val="auto"/>
          <w:sz w:val="24"/>
          <w:szCs w:val="28"/>
          <w:shd w:val="clear" w:color="auto" w:fill="FFFFFF"/>
        </w:rPr>
        <w:t>постпандемічний</w:t>
      </w:r>
      <w:proofErr w:type="spellEnd"/>
      <w:r w:rsidRPr="00B8517F">
        <w:rPr>
          <w:color w:val="auto"/>
          <w:sz w:val="24"/>
          <w:szCs w:val="28"/>
          <w:shd w:val="clear" w:color="auto" w:fill="FFFFFF"/>
        </w:rPr>
        <w:t xml:space="preserve"> період матиме влив як комплекс антикризових заходів, вжитих Урядом для подолання негативних наслідків пандемії COVID-19, так і активна реалізація реформ відповідно до пріоритетів, визначених у стратегічних документах Уряду, зокрема у Програмі діяльності Кабінету Міністрів України та Національній економічній стратегії на період до 2030 року. </w:t>
      </w:r>
    </w:p>
    <w:p w:rsidR="00B8517F" w:rsidRPr="00B8517F" w:rsidRDefault="00B8517F" w:rsidP="00B8517F">
      <w:pPr>
        <w:spacing w:after="60" w:line="240" w:lineRule="auto"/>
        <w:ind w:firstLine="567"/>
        <w:jc w:val="both"/>
        <w:rPr>
          <w:rFonts w:ascii="Times New Roman" w:hAnsi="Times New Roman" w:cs="Times New Roman"/>
          <w:sz w:val="24"/>
          <w:szCs w:val="24"/>
        </w:rPr>
      </w:pPr>
      <w:r w:rsidRPr="00B8517F">
        <w:rPr>
          <w:rFonts w:ascii="Times New Roman" w:hAnsi="Times New Roman" w:cs="Times New Roman"/>
          <w:sz w:val="24"/>
          <w:szCs w:val="24"/>
        </w:rPr>
        <w:t>Як результат, за базовим сценарієм у 2022 році прогнозується:</w:t>
      </w:r>
    </w:p>
    <w:p w:rsidR="00B8517F" w:rsidRPr="00B8517F" w:rsidRDefault="00B8517F" w:rsidP="00B8517F">
      <w:pPr>
        <w:pStyle w:val="a4"/>
        <w:numPr>
          <w:ilvl w:val="0"/>
          <w:numId w:val="44"/>
        </w:numPr>
        <w:spacing w:after="40" w:line="240" w:lineRule="auto"/>
        <w:ind w:left="0" w:firstLine="567"/>
        <w:contextualSpacing w:val="0"/>
        <w:jc w:val="both"/>
        <w:rPr>
          <w:rFonts w:ascii="Times New Roman" w:hAnsi="Times New Roman" w:cs="Times New Roman"/>
          <w:sz w:val="24"/>
          <w:szCs w:val="24"/>
        </w:rPr>
      </w:pPr>
      <w:r w:rsidRPr="00B8517F">
        <w:rPr>
          <w:rFonts w:ascii="Times New Roman" w:hAnsi="Times New Roman" w:cs="Times New Roman"/>
          <w:sz w:val="24"/>
          <w:szCs w:val="24"/>
        </w:rPr>
        <w:t>зростання ВВП на рівні 3,8 відсотка;</w:t>
      </w:r>
    </w:p>
    <w:p w:rsidR="00B8517F" w:rsidRPr="00B8517F" w:rsidRDefault="00B8517F" w:rsidP="00B8517F">
      <w:pPr>
        <w:pStyle w:val="a4"/>
        <w:numPr>
          <w:ilvl w:val="0"/>
          <w:numId w:val="44"/>
        </w:numPr>
        <w:spacing w:after="40" w:line="240" w:lineRule="auto"/>
        <w:ind w:left="0" w:firstLine="567"/>
        <w:contextualSpacing w:val="0"/>
        <w:jc w:val="both"/>
        <w:rPr>
          <w:rFonts w:ascii="Times New Roman" w:hAnsi="Times New Roman" w:cs="Times New Roman"/>
          <w:sz w:val="24"/>
          <w:szCs w:val="24"/>
        </w:rPr>
      </w:pPr>
      <w:r w:rsidRPr="00B8517F">
        <w:rPr>
          <w:rFonts w:ascii="Times New Roman" w:hAnsi="Times New Roman" w:cs="Times New Roman"/>
          <w:sz w:val="24"/>
          <w:szCs w:val="24"/>
        </w:rPr>
        <w:t>зростання ІСЦ (у розрахунку грудень до грудня) на рівні 6,2 відсотка;</w:t>
      </w:r>
    </w:p>
    <w:p w:rsidR="00B8517F" w:rsidRPr="00B8517F" w:rsidRDefault="00B8517F" w:rsidP="00B8517F">
      <w:pPr>
        <w:pStyle w:val="a4"/>
        <w:numPr>
          <w:ilvl w:val="0"/>
          <w:numId w:val="44"/>
        </w:numPr>
        <w:spacing w:after="40" w:line="240" w:lineRule="auto"/>
        <w:ind w:left="0" w:firstLine="567"/>
        <w:contextualSpacing w:val="0"/>
        <w:jc w:val="both"/>
        <w:rPr>
          <w:rFonts w:ascii="Times New Roman" w:hAnsi="Times New Roman" w:cs="Times New Roman"/>
          <w:sz w:val="24"/>
          <w:szCs w:val="24"/>
        </w:rPr>
      </w:pPr>
      <w:r w:rsidRPr="00B8517F">
        <w:rPr>
          <w:rFonts w:ascii="Times New Roman" w:hAnsi="Times New Roman" w:cs="Times New Roman"/>
          <w:sz w:val="24"/>
          <w:szCs w:val="24"/>
        </w:rPr>
        <w:t>обсяг прибутку прибуткових підприємств на рівні 1 199,4 млрд гривень;</w:t>
      </w:r>
    </w:p>
    <w:p w:rsidR="00B8517F" w:rsidRPr="00B8517F" w:rsidRDefault="00B8517F" w:rsidP="00B8517F">
      <w:pPr>
        <w:pStyle w:val="a4"/>
        <w:numPr>
          <w:ilvl w:val="0"/>
          <w:numId w:val="44"/>
        </w:numPr>
        <w:spacing w:after="40" w:line="240" w:lineRule="auto"/>
        <w:ind w:left="0" w:firstLine="567"/>
        <w:contextualSpacing w:val="0"/>
        <w:jc w:val="both"/>
        <w:rPr>
          <w:rFonts w:ascii="Times New Roman" w:hAnsi="Times New Roman" w:cs="Times New Roman"/>
          <w:sz w:val="24"/>
          <w:szCs w:val="24"/>
        </w:rPr>
      </w:pPr>
      <w:r w:rsidRPr="00B8517F">
        <w:rPr>
          <w:rFonts w:ascii="Times New Roman" w:hAnsi="Times New Roman" w:cs="Times New Roman"/>
          <w:sz w:val="24"/>
          <w:szCs w:val="24"/>
        </w:rPr>
        <w:t>обсяг фонду оплати праці найманих працівників і грошового забезпечення військовослужбовців на рівні 1 606,1 млрд гривень;</w:t>
      </w:r>
    </w:p>
    <w:p w:rsidR="00B8517F" w:rsidRPr="00B8517F" w:rsidRDefault="00B8517F" w:rsidP="00B8517F">
      <w:pPr>
        <w:pStyle w:val="a4"/>
        <w:numPr>
          <w:ilvl w:val="0"/>
          <w:numId w:val="44"/>
        </w:numPr>
        <w:spacing w:after="40" w:line="240" w:lineRule="auto"/>
        <w:ind w:left="0" w:firstLine="567"/>
        <w:contextualSpacing w:val="0"/>
        <w:jc w:val="both"/>
        <w:rPr>
          <w:rFonts w:ascii="Times New Roman" w:hAnsi="Times New Roman" w:cs="Times New Roman"/>
          <w:sz w:val="24"/>
          <w:szCs w:val="24"/>
        </w:rPr>
      </w:pPr>
      <w:r w:rsidRPr="00B8517F">
        <w:rPr>
          <w:rFonts w:ascii="Times New Roman" w:hAnsi="Times New Roman" w:cs="Times New Roman"/>
          <w:sz w:val="24"/>
          <w:szCs w:val="24"/>
        </w:rPr>
        <w:t>рівень безробіття на рівні 8,5 відсотка;</w:t>
      </w:r>
    </w:p>
    <w:p w:rsidR="00B8517F" w:rsidRPr="00B8517F" w:rsidRDefault="00B8517F" w:rsidP="00B8517F">
      <w:pPr>
        <w:pStyle w:val="a4"/>
        <w:numPr>
          <w:ilvl w:val="0"/>
          <w:numId w:val="44"/>
        </w:numPr>
        <w:spacing w:after="40" w:line="240" w:lineRule="auto"/>
        <w:ind w:left="0" w:firstLine="567"/>
        <w:contextualSpacing w:val="0"/>
        <w:jc w:val="both"/>
        <w:rPr>
          <w:rFonts w:ascii="Times New Roman" w:hAnsi="Times New Roman" w:cs="Times New Roman"/>
          <w:sz w:val="24"/>
          <w:szCs w:val="24"/>
        </w:rPr>
      </w:pPr>
      <w:r w:rsidRPr="00B8517F">
        <w:rPr>
          <w:rFonts w:ascii="Times New Roman" w:hAnsi="Times New Roman" w:cs="Times New Roman"/>
          <w:sz w:val="24"/>
          <w:szCs w:val="24"/>
        </w:rPr>
        <w:t>зростання обсягу експорту товарів та послуг на 6,5 відсотка;</w:t>
      </w:r>
    </w:p>
    <w:p w:rsidR="00B8517F" w:rsidRPr="00A17A0D" w:rsidRDefault="00B8517F" w:rsidP="00B8517F">
      <w:pPr>
        <w:pStyle w:val="a4"/>
        <w:numPr>
          <w:ilvl w:val="0"/>
          <w:numId w:val="44"/>
        </w:numPr>
        <w:spacing w:after="0" w:line="240" w:lineRule="auto"/>
        <w:ind w:left="0" w:firstLine="567"/>
        <w:jc w:val="both"/>
        <w:rPr>
          <w:rFonts w:ascii="Times New Roman" w:eastAsia="Times New Roman" w:hAnsi="Times New Roman" w:cs="Times New Roman"/>
          <w:b/>
          <w:bCs/>
          <w:color w:val="212121"/>
          <w:sz w:val="24"/>
          <w:szCs w:val="24"/>
          <w:lang w:eastAsia="uk-UA"/>
        </w:rPr>
      </w:pPr>
      <w:r w:rsidRPr="00B8517F">
        <w:rPr>
          <w:rFonts w:ascii="Times New Roman" w:hAnsi="Times New Roman" w:cs="Times New Roman"/>
          <w:sz w:val="24"/>
          <w:szCs w:val="24"/>
        </w:rPr>
        <w:t>зростання обсягу імпорту товарів та послуг на 9,2 відсотка</w:t>
      </w:r>
      <w:r w:rsidRPr="00A17A0D">
        <w:rPr>
          <w:rFonts w:ascii="Times New Roman" w:hAnsi="Times New Roman" w:cs="Times New Roman"/>
          <w:color w:val="000000" w:themeColor="text1"/>
          <w:sz w:val="24"/>
          <w:szCs w:val="24"/>
        </w:rPr>
        <w:t>.</w:t>
      </w:r>
    </w:p>
    <w:p w:rsidR="00B8517F" w:rsidRPr="00F300EA" w:rsidRDefault="00B8517F" w:rsidP="00B8517F">
      <w:pPr>
        <w:keepNext/>
        <w:shd w:val="clear" w:color="auto" w:fill="FFFFFF"/>
        <w:spacing w:before="120" w:after="120" w:line="240" w:lineRule="auto"/>
        <w:ind w:firstLine="567"/>
        <w:jc w:val="both"/>
        <w:rPr>
          <w:rFonts w:ascii="Times New Roman" w:eastAsia="Times New Roman" w:hAnsi="Times New Roman" w:cs="Times New Roman"/>
          <w:color w:val="212121"/>
          <w:lang w:eastAsia="uk-UA"/>
        </w:rPr>
      </w:pPr>
      <w:r w:rsidRPr="00F300EA">
        <w:rPr>
          <w:rFonts w:ascii="Times New Roman" w:eastAsia="Times New Roman" w:hAnsi="Times New Roman" w:cs="Times New Roman"/>
          <w:b/>
          <w:bCs/>
          <w:color w:val="212121"/>
          <w:sz w:val="24"/>
          <w:szCs w:val="24"/>
          <w:lang w:eastAsia="uk-UA"/>
        </w:rPr>
        <w:t>Альтернативні сценарії економічного розвитку</w:t>
      </w:r>
    </w:p>
    <w:p w:rsidR="00B8517F" w:rsidRDefault="00B8517F" w:rsidP="00B8517F">
      <w:pPr>
        <w:spacing w:after="0" w:line="240" w:lineRule="auto"/>
        <w:ind w:firstLine="567"/>
        <w:jc w:val="both"/>
        <w:rPr>
          <w:rFonts w:ascii="Times New Roman" w:hAnsi="Times New Roman" w:cs="Times New Roman"/>
          <w:color w:val="000000" w:themeColor="text1"/>
          <w:sz w:val="24"/>
          <w:szCs w:val="24"/>
        </w:rPr>
      </w:pPr>
      <w:r w:rsidRPr="00C95681">
        <w:rPr>
          <w:rFonts w:ascii="Times New Roman" w:hAnsi="Times New Roman" w:cs="Times New Roman"/>
          <w:color w:val="000000" w:themeColor="text1"/>
          <w:sz w:val="24"/>
          <w:szCs w:val="24"/>
        </w:rPr>
        <w:t xml:space="preserve">Відповідно до норм Бюджетного кодексу у частині здійснення загальної оцінки фіскальних ризиків, зокрема, пов’язаних із змінами у макроекономічному середовищі, </w:t>
      </w:r>
      <w:r>
        <w:rPr>
          <w:rFonts w:ascii="Times New Roman" w:hAnsi="Times New Roman" w:cs="Times New Roman"/>
          <w:color w:val="000000" w:themeColor="text1"/>
          <w:sz w:val="24"/>
          <w:szCs w:val="24"/>
        </w:rPr>
        <w:t>макроекономічний п</w:t>
      </w:r>
      <w:r w:rsidRPr="00C95681">
        <w:rPr>
          <w:rFonts w:ascii="Times New Roman" w:hAnsi="Times New Roman" w:cs="Times New Roman"/>
          <w:color w:val="000000" w:themeColor="text1"/>
          <w:sz w:val="24"/>
          <w:szCs w:val="24"/>
        </w:rPr>
        <w:t xml:space="preserve">рогноз містить оцінку можливих альтернативних сценаріїв розвитку для України, які, як і базовий сценарій, сформовано з врахуванням наслідків поширення </w:t>
      </w:r>
      <w:r>
        <w:rPr>
          <w:rFonts w:ascii="Times New Roman" w:hAnsi="Times New Roman" w:cs="Times New Roman"/>
          <w:color w:val="000000" w:themeColor="text1"/>
          <w:sz w:val="24"/>
          <w:szCs w:val="24"/>
        </w:rPr>
        <w:t>пандемії</w:t>
      </w:r>
      <w:r w:rsidRPr="00C95681">
        <w:rPr>
          <w:rFonts w:ascii="Times New Roman" w:hAnsi="Times New Roman" w:cs="Times New Roman"/>
          <w:color w:val="000000" w:themeColor="text1"/>
          <w:sz w:val="24"/>
          <w:szCs w:val="24"/>
        </w:rPr>
        <w:t xml:space="preserve"> COVID-19. </w:t>
      </w:r>
    </w:p>
    <w:p w:rsidR="00B8517F" w:rsidRPr="003A2367" w:rsidRDefault="00B8517F" w:rsidP="00B8517F">
      <w:pPr>
        <w:spacing w:after="0" w:line="240" w:lineRule="auto"/>
        <w:ind w:firstLine="567"/>
        <w:jc w:val="both"/>
        <w:rPr>
          <w:rFonts w:ascii="Times New Roman" w:hAnsi="Times New Roman" w:cs="Times New Roman"/>
          <w:color w:val="000000" w:themeColor="text1"/>
          <w:sz w:val="24"/>
          <w:szCs w:val="24"/>
        </w:rPr>
      </w:pPr>
      <w:r w:rsidRPr="003A2367">
        <w:rPr>
          <w:rFonts w:ascii="Times New Roman" w:hAnsi="Times New Roman" w:cs="Times New Roman"/>
          <w:color w:val="000000" w:themeColor="text1"/>
          <w:sz w:val="24"/>
          <w:szCs w:val="24"/>
        </w:rPr>
        <w:t xml:space="preserve">Альтернативний сценарій розвитку економіки України, як і базовий сценарій, сформовано з урахуванням </w:t>
      </w:r>
      <w:proofErr w:type="spellStart"/>
      <w:r w:rsidRPr="003A2367">
        <w:rPr>
          <w:rFonts w:ascii="Times New Roman" w:hAnsi="Times New Roman" w:cs="Times New Roman"/>
          <w:color w:val="000000" w:themeColor="text1"/>
          <w:sz w:val="24"/>
          <w:szCs w:val="24"/>
        </w:rPr>
        <w:t>постпандемічного</w:t>
      </w:r>
      <w:proofErr w:type="spellEnd"/>
      <w:r w:rsidRPr="003A2367">
        <w:rPr>
          <w:rFonts w:ascii="Times New Roman" w:hAnsi="Times New Roman" w:cs="Times New Roman"/>
          <w:color w:val="000000" w:themeColor="text1"/>
          <w:sz w:val="24"/>
          <w:szCs w:val="24"/>
        </w:rPr>
        <w:t xml:space="preserve"> розвитку економіки. У прогнозному періоді економіка України, як і економіки інших країн, розвиватимуться з урахуванням необхідності вирішення трьох визначальних проблем, а саме, подолання пандемії COVID-19, внутрішньої та світової рецесії та їх наслідків, реформування економік на шляху адаптації до нових трендів розвитку. </w:t>
      </w:r>
    </w:p>
    <w:p w:rsidR="00B8517F" w:rsidRPr="00B8517F" w:rsidRDefault="00B8517F" w:rsidP="00B8517F">
      <w:pPr>
        <w:spacing w:after="0" w:line="240" w:lineRule="auto"/>
        <w:ind w:firstLine="567"/>
        <w:jc w:val="both"/>
        <w:rPr>
          <w:rFonts w:ascii="Times New Roman" w:hAnsi="Times New Roman" w:cs="Times New Roman"/>
          <w:sz w:val="24"/>
          <w:szCs w:val="24"/>
        </w:rPr>
      </w:pPr>
      <w:r w:rsidRPr="003A2367">
        <w:rPr>
          <w:rFonts w:ascii="Times New Roman" w:hAnsi="Times New Roman" w:cs="Times New Roman"/>
          <w:color w:val="000000" w:themeColor="text1"/>
          <w:sz w:val="24"/>
          <w:szCs w:val="24"/>
        </w:rPr>
        <w:t xml:space="preserve">Незважаючи на те, що в більшості країн світу йде вакцинація від COVID-19, поява нових штамів </w:t>
      </w:r>
      <w:r w:rsidRPr="00B8517F">
        <w:rPr>
          <w:rFonts w:ascii="Times New Roman" w:hAnsi="Times New Roman" w:cs="Times New Roman"/>
          <w:sz w:val="24"/>
          <w:szCs w:val="24"/>
        </w:rPr>
        <w:t xml:space="preserve">вірусу, більш заразних, викликає значну занепокоєність. Так, наприклад, після виявлення британської, південноафриканської і бразильської мутації </w:t>
      </w:r>
      <w:proofErr w:type="spellStart"/>
      <w:r w:rsidRPr="00B8517F">
        <w:rPr>
          <w:rFonts w:ascii="Times New Roman" w:hAnsi="Times New Roman" w:cs="Times New Roman"/>
          <w:sz w:val="24"/>
          <w:szCs w:val="24"/>
        </w:rPr>
        <w:t>коронавірусу</w:t>
      </w:r>
      <w:proofErr w:type="spellEnd"/>
      <w:r w:rsidRPr="00B8517F">
        <w:rPr>
          <w:rFonts w:ascii="Times New Roman" w:hAnsi="Times New Roman" w:cs="Times New Roman"/>
          <w:sz w:val="24"/>
          <w:szCs w:val="24"/>
        </w:rPr>
        <w:t xml:space="preserve"> в США виявлено ще два нові варіанти, які очевидно не були привнесені ззовні, а отримали розвиток всередині країни. Мутує вірус і в Індії. </w:t>
      </w:r>
    </w:p>
    <w:p w:rsidR="00B8517F" w:rsidRPr="00B8517F" w:rsidRDefault="00B8517F" w:rsidP="00B8517F">
      <w:pPr>
        <w:spacing w:after="0" w:line="240" w:lineRule="auto"/>
        <w:ind w:firstLine="567"/>
        <w:jc w:val="both"/>
        <w:rPr>
          <w:rFonts w:ascii="Times New Roman" w:hAnsi="Times New Roman" w:cs="Times New Roman"/>
          <w:sz w:val="24"/>
          <w:szCs w:val="24"/>
        </w:rPr>
      </w:pPr>
      <w:r w:rsidRPr="00B8517F">
        <w:rPr>
          <w:rFonts w:ascii="Times New Roman" w:hAnsi="Times New Roman" w:cs="Times New Roman"/>
          <w:sz w:val="24"/>
          <w:szCs w:val="24"/>
        </w:rPr>
        <w:t xml:space="preserve">За таких умов висока невизначеність продовжує оточувати світові економічні перспективи, насамперед  пов’язані із перебігом пандемії COVID-19. На противагу базовому сценарію, за цим альтернативним сценарієм припускається, що певної стабілізації ситуації із поширенням вірусу вдасться досягти лише мірою набуття природнього імунітету. Ймовірність цього сценарію оцінюється вище середньої. </w:t>
      </w:r>
    </w:p>
    <w:p w:rsidR="00B8517F" w:rsidRPr="00B8517F" w:rsidRDefault="00B8517F" w:rsidP="00B8517F">
      <w:pPr>
        <w:spacing w:after="0" w:line="240" w:lineRule="auto"/>
        <w:ind w:firstLine="567"/>
        <w:jc w:val="both"/>
        <w:rPr>
          <w:rFonts w:ascii="Times New Roman" w:hAnsi="Times New Roman" w:cs="Times New Roman"/>
          <w:sz w:val="24"/>
          <w:szCs w:val="24"/>
        </w:rPr>
      </w:pPr>
      <w:r w:rsidRPr="00B8517F">
        <w:rPr>
          <w:rFonts w:ascii="Times New Roman" w:hAnsi="Times New Roman" w:cs="Times New Roman"/>
          <w:sz w:val="24"/>
          <w:szCs w:val="24"/>
        </w:rPr>
        <w:t>Відповідно, за цим сценарієм світова економіка буде відновлюватися відносно повільними темпами, оскільки мотиви обережності у поведінці всіх суб’єктів (населення, бізнесу, інвесторів) домінуватимуть ще тривалий час. Вірогідним є і повторення у ряді країн «</w:t>
      </w:r>
      <w:proofErr w:type="spellStart"/>
      <w:r w:rsidRPr="00B8517F">
        <w:rPr>
          <w:rFonts w:ascii="Times New Roman" w:hAnsi="Times New Roman" w:cs="Times New Roman"/>
          <w:sz w:val="24"/>
          <w:szCs w:val="24"/>
        </w:rPr>
        <w:t>локдаунів</w:t>
      </w:r>
      <w:proofErr w:type="spellEnd"/>
      <w:r w:rsidRPr="00B8517F">
        <w:rPr>
          <w:rFonts w:ascii="Times New Roman" w:hAnsi="Times New Roman" w:cs="Times New Roman"/>
          <w:sz w:val="24"/>
          <w:szCs w:val="24"/>
        </w:rPr>
        <w:t>». Пригнічений світовий попит триматиме ціни на основні експортні позиції на низькому рівні із незначними коливаннями. Лише у другій половині 2023 року ситуація почне суттєво покращуватись.</w:t>
      </w:r>
    </w:p>
    <w:p w:rsidR="00B8517F" w:rsidRPr="00B8517F" w:rsidRDefault="00B8517F" w:rsidP="00B8517F">
      <w:pPr>
        <w:spacing w:after="0" w:line="240" w:lineRule="auto"/>
        <w:ind w:firstLine="567"/>
        <w:jc w:val="both"/>
        <w:rPr>
          <w:rFonts w:ascii="Times New Roman" w:hAnsi="Times New Roman" w:cs="Times New Roman"/>
          <w:sz w:val="24"/>
          <w:szCs w:val="24"/>
        </w:rPr>
      </w:pPr>
      <w:r w:rsidRPr="00B8517F">
        <w:rPr>
          <w:rFonts w:ascii="Times New Roman" w:hAnsi="Times New Roman" w:cs="Times New Roman"/>
          <w:sz w:val="24"/>
          <w:szCs w:val="24"/>
        </w:rPr>
        <w:t xml:space="preserve">Пригніченою, знову таки з мотивів обережності в умовах триваючої невизначеності, залишатиметься й інвестиційна активність, що реалізується як посередництво внутрішніх каналів, так і зовнішніх. Не очікується значного притоку прямих іноземних інвестицій, не будуть активними приватизаційні процеси та кредитування, лишатимуться на паузі й інвестиційні проекти бізнесу. </w:t>
      </w:r>
    </w:p>
    <w:p w:rsidR="00B8517F" w:rsidRPr="00B8517F" w:rsidRDefault="00B8517F" w:rsidP="00B8517F">
      <w:pPr>
        <w:spacing w:after="0" w:line="240" w:lineRule="auto"/>
        <w:ind w:firstLine="567"/>
        <w:jc w:val="both"/>
        <w:rPr>
          <w:rFonts w:ascii="Times New Roman" w:hAnsi="Times New Roman" w:cs="Times New Roman"/>
          <w:sz w:val="24"/>
          <w:szCs w:val="24"/>
        </w:rPr>
      </w:pPr>
      <w:r w:rsidRPr="00B8517F">
        <w:rPr>
          <w:rFonts w:ascii="Times New Roman" w:hAnsi="Times New Roman" w:cs="Times New Roman"/>
          <w:sz w:val="24"/>
          <w:szCs w:val="24"/>
        </w:rPr>
        <w:t>Отже, враховуючи динаміку щонайменше двох складових попиту  (експорту та інвестицій)  за альтернативним сценарієм ефект потужного відновлення ВВП буде посунутий у часі.</w:t>
      </w:r>
    </w:p>
    <w:p w:rsidR="00B8517F" w:rsidRPr="00B8517F" w:rsidRDefault="00B8517F" w:rsidP="00B8517F">
      <w:pPr>
        <w:spacing w:after="0" w:line="240" w:lineRule="auto"/>
        <w:ind w:firstLine="567"/>
        <w:jc w:val="both"/>
        <w:rPr>
          <w:rFonts w:ascii="Times New Roman" w:hAnsi="Times New Roman" w:cs="Times New Roman"/>
          <w:sz w:val="24"/>
          <w:szCs w:val="24"/>
        </w:rPr>
      </w:pPr>
      <w:r w:rsidRPr="00B8517F">
        <w:rPr>
          <w:rFonts w:ascii="Times New Roman" w:hAnsi="Times New Roman" w:cs="Times New Roman"/>
          <w:sz w:val="24"/>
          <w:szCs w:val="24"/>
        </w:rPr>
        <w:t xml:space="preserve">Загалом, за цим сценарієм лише з 2023 року інвестиційний попит випереджатиме інші складові попиту і перевищить рівень докризового 2019 року. </w:t>
      </w:r>
    </w:p>
    <w:p w:rsidR="00B8517F" w:rsidRPr="00B8517F" w:rsidRDefault="00B8517F" w:rsidP="00B8517F">
      <w:pPr>
        <w:spacing w:after="0" w:line="240" w:lineRule="auto"/>
        <w:ind w:firstLine="567"/>
        <w:jc w:val="both"/>
        <w:rPr>
          <w:rFonts w:ascii="Times New Roman" w:hAnsi="Times New Roman" w:cs="Times New Roman"/>
          <w:sz w:val="24"/>
          <w:szCs w:val="24"/>
        </w:rPr>
      </w:pPr>
      <w:r w:rsidRPr="00B8517F">
        <w:rPr>
          <w:rFonts w:ascii="Times New Roman" w:hAnsi="Times New Roman" w:cs="Times New Roman"/>
          <w:sz w:val="24"/>
          <w:szCs w:val="24"/>
        </w:rPr>
        <w:t xml:space="preserve">Збереження високої </w:t>
      </w:r>
      <w:proofErr w:type="spellStart"/>
      <w:r w:rsidRPr="00B8517F">
        <w:rPr>
          <w:rFonts w:ascii="Times New Roman" w:hAnsi="Times New Roman" w:cs="Times New Roman"/>
          <w:sz w:val="24"/>
          <w:szCs w:val="24"/>
        </w:rPr>
        <w:t>витратності</w:t>
      </w:r>
      <w:proofErr w:type="spellEnd"/>
      <w:r w:rsidRPr="00B8517F">
        <w:rPr>
          <w:rFonts w:ascii="Times New Roman" w:hAnsi="Times New Roman" w:cs="Times New Roman"/>
          <w:sz w:val="24"/>
          <w:szCs w:val="24"/>
        </w:rPr>
        <w:t xml:space="preserve"> виробництва на тлі помірних темпів зростання світових цін на основні експортні товари в умовах мінімальної різниці між ціною та собівартістю національної продукції, більшої енергомісткістю та матеріаломісткістю української продукції, призведе до того, що отримані кошти, в основному, спрямовуватимуться на забезпечення поточних потреб, зокрема оплати праці, темпи зростання якої будуть дещо нижчими за темпи базового сценарію. За таких умов підприємства будуть змушені посилити політику раціоналізації витрат з метою забезпечення конкурентоспроможності продукції на внутрішньому та зовнішньому ринках, що стримуватиме зниження безробіття. </w:t>
      </w:r>
    </w:p>
    <w:p w:rsidR="00B8517F" w:rsidRPr="00B8517F" w:rsidRDefault="00B8517F" w:rsidP="00B8517F">
      <w:pPr>
        <w:spacing w:after="0" w:line="240" w:lineRule="auto"/>
        <w:ind w:firstLine="567"/>
        <w:jc w:val="both"/>
        <w:rPr>
          <w:rFonts w:ascii="Times New Roman" w:hAnsi="Times New Roman" w:cs="Times New Roman"/>
          <w:sz w:val="24"/>
          <w:szCs w:val="24"/>
        </w:rPr>
      </w:pPr>
      <w:r w:rsidRPr="00B8517F">
        <w:rPr>
          <w:rFonts w:ascii="Times New Roman" w:hAnsi="Times New Roman" w:cs="Times New Roman"/>
          <w:sz w:val="24"/>
          <w:szCs w:val="24"/>
        </w:rPr>
        <w:t xml:space="preserve">Загальний характер формування інфляційного тренду визначатиметься повільністю економічних процесів, що віддзеркалюватиметься у стриманій інфляційній динаміці. </w:t>
      </w:r>
    </w:p>
    <w:p w:rsidR="00B8517F" w:rsidRPr="00B8517F" w:rsidRDefault="00B8517F" w:rsidP="00B8517F">
      <w:pPr>
        <w:spacing w:after="120" w:line="240" w:lineRule="auto"/>
        <w:ind w:firstLine="567"/>
        <w:jc w:val="both"/>
        <w:rPr>
          <w:rFonts w:ascii="Times New Roman" w:hAnsi="Times New Roman" w:cs="Times New Roman"/>
          <w:sz w:val="24"/>
          <w:szCs w:val="24"/>
        </w:rPr>
      </w:pPr>
      <w:r w:rsidRPr="00B8517F">
        <w:rPr>
          <w:rFonts w:ascii="Times New Roman" w:hAnsi="Times New Roman" w:cs="Times New Roman"/>
          <w:sz w:val="24"/>
          <w:szCs w:val="24"/>
        </w:rPr>
        <w:t xml:space="preserve">Як наслідок, за цим сценарієм прогнозується вихід на </w:t>
      </w:r>
      <w:proofErr w:type="spellStart"/>
      <w:r w:rsidRPr="00B8517F">
        <w:rPr>
          <w:rFonts w:ascii="Times New Roman" w:hAnsi="Times New Roman" w:cs="Times New Roman"/>
          <w:sz w:val="24"/>
          <w:szCs w:val="24"/>
        </w:rPr>
        <w:t>допандемічний</w:t>
      </w:r>
      <w:proofErr w:type="spellEnd"/>
      <w:r w:rsidRPr="00B8517F">
        <w:rPr>
          <w:rFonts w:ascii="Times New Roman" w:hAnsi="Times New Roman" w:cs="Times New Roman"/>
          <w:sz w:val="24"/>
          <w:szCs w:val="24"/>
        </w:rPr>
        <w:t xml:space="preserve"> рівень розвитку за підсумками лише 2023 року. Зростання ВВП у 2022 році сповільниться до 2,6 відсотка.</w:t>
      </w:r>
    </w:p>
    <w:tbl>
      <w:tblPr>
        <w:tblW w:w="11340" w:type="dxa"/>
        <w:tblLayout w:type="fixed"/>
        <w:tblLook w:val="0480" w:firstRow="0" w:lastRow="0" w:firstColumn="1" w:lastColumn="0" w:noHBand="0" w:noVBand="1"/>
      </w:tblPr>
      <w:tblGrid>
        <w:gridCol w:w="5103"/>
        <w:gridCol w:w="2444"/>
        <w:gridCol w:w="2234"/>
        <w:gridCol w:w="1559"/>
      </w:tblGrid>
      <w:tr w:rsidR="00B8517F" w:rsidRPr="00B8517F" w:rsidTr="00FE1030">
        <w:trPr>
          <w:trHeight w:val="400"/>
        </w:trPr>
        <w:tc>
          <w:tcPr>
            <w:tcW w:w="11340" w:type="dxa"/>
            <w:gridSpan w:val="4"/>
            <w:tcBorders>
              <w:top w:val="nil"/>
              <w:left w:val="nil"/>
              <w:bottom w:val="nil"/>
              <w:right w:val="nil"/>
            </w:tcBorders>
            <w:shd w:val="clear" w:color="auto" w:fill="auto"/>
            <w:hideMark/>
          </w:tcPr>
          <w:p w:rsidR="00B8517F" w:rsidRPr="00B8517F" w:rsidRDefault="00B8517F" w:rsidP="00FE1030">
            <w:pPr>
              <w:spacing w:after="120" w:line="240" w:lineRule="auto"/>
              <w:ind w:left="-958" w:right="-108"/>
              <w:jc w:val="center"/>
              <w:rPr>
                <w:rFonts w:ascii="Times New Roman" w:eastAsia="Times New Roman" w:hAnsi="Times New Roman" w:cs="Times New Roman"/>
                <w:b/>
                <w:bCs/>
                <w:sz w:val="24"/>
                <w:szCs w:val="24"/>
                <w:lang w:eastAsia="uk-UA"/>
              </w:rPr>
            </w:pPr>
            <w:r w:rsidRPr="00B8517F">
              <w:rPr>
                <w:rFonts w:ascii="Times New Roman" w:eastAsia="Times New Roman" w:hAnsi="Times New Roman" w:cs="Times New Roman"/>
                <w:b/>
                <w:bCs/>
                <w:sz w:val="24"/>
                <w:szCs w:val="24"/>
                <w:lang w:eastAsia="uk-UA"/>
              </w:rPr>
              <w:t xml:space="preserve">Основні прогнозні </w:t>
            </w:r>
            <w:proofErr w:type="spellStart"/>
            <w:r w:rsidRPr="00B8517F">
              <w:rPr>
                <w:rFonts w:ascii="Times New Roman" w:eastAsia="Times New Roman" w:hAnsi="Times New Roman" w:cs="Times New Roman"/>
                <w:b/>
                <w:bCs/>
                <w:sz w:val="24"/>
                <w:szCs w:val="24"/>
                <w:lang w:eastAsia="uk-UA"/>
              </w:rPr>
              <w:t>макропоказники</w:t>
            </w:r>
            <w:proofErr w:type="spellEnd"/>
            <w:r w:rsidRPr="00B8517F">
              <w:rPr>
                <w:rFonts w:ascii="Times New Roman" w:eastAsia="Times New Roman" w:hAnsi="Times New Roman" w:cs="Times New Roman"/>
                <w:b/>
                <w:bCs/>
                <w:sz w:val="24"/>
                <w:szCs w:val="24"/>
                <w:lang w:eastAsia="uk-UA"/>
              </w:rPr>
              <w:t xml:space="preserve"> економічного і соціального розвитку України</w:t>
            </w:r>
            <w:r w:rsidRPr="00B8517F">
              <w:rPr>
                <w:rFonts w:ascii="Times New Roman" w:eastAsia="Times New Roman" w:hAnsi="Times New Roman" w:cs="Times New Roman"/>
                <w:b/>
                <w:bCs/>
                <w:sz w:val="24"/>
                <w:szCs w:val="24"/>
                <w:lang w:eastAsia="uk-UA"/>
              </w:rPr>
              <w:br/>
              <w:t>та окремі припущення прогнозу на 2022 рік за різними сценаріями</w:t>
            </w:r>
          </w:p>
        </w:tc>
      </w:tr>
      <w:tr w:rsidR="00B8517F" w:rsidRPr="00B8517F" w:rsidTr="00FE10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1"/>
          <w:wAfter w:w="1559" w:type="dxa"/>
          <w:trHeight w:val="423"/>
          <w:tblHeader/>
        </w:trPr>
        <w:tc>
          <w:tcPr>
            <w:tcW w:w="5103" w:type="dxa"/>
            <w:vAlign w:val="center"/>
          </w:tcPr>
          <w:p w:rsidR="00B8517F" w:rsidRPr="00B8517F" w:rsidRDefault="00B8517F" w:rsidP="00FE1030">
            <w:pPr>
              <w:spacing w:after="0" w:line="240" w:lineRule="auto"/>
              <w:jc w:val="center"/>
              <w:rPr>
                <w:rFonts w:ascii="Times New Roman" w:hAnsi="Times New Roman" w:cs="Times New Roman"/>
                <w:b/>
                <w:lang w:eastAsia="uk-UA"/>
              </w:rPr>
            </w:pPr>
            <w:r w:rsidRPr="00B8517F">
              <w:rPr>
                <w:rFonts w:ascii="Times New Roman" w:hAnsi="Times New Roman" w:cs="Times New Roman"/>
                <w:b/>
              </w:rPr>
              <w:t>Назва показника</w:t>
            </w:r>
          </w:p>
        </w:tc>
        <w:tc>
          <w:tcPr>
            <w:tcW w:w="2444" w:type="dxa"/>
            <w:vAlign w:val="center"/>
          </w:tcPr>
          <w:p w:rsidR="00B8517F" w:rsidRPr="00B8517F" w:rsidRDefault="00B8517F" w:rsidP="00FE1030">
            <w:pPr>
              <w:spacing w:after="0" w:line="240" w:lineRule="auto"/>
              <w:jc w:val="center"/>
              <w:rPr>
                <w:rFonts w:ascii="Times New Roman" w:hAnsi="Times New Roman" w:cs="Times New Roman"/>
                <w:b/>
                <w:bCs/>
              </w:rPr>
            </w:pPr>
            <w:r w:rsidRPr="00B8517F">
              <w:rPr>
                <w:rFonts w:ascii="Times New Roman" w:hAnsi="Times New Roman" w:cs="Times New Roman"/>
                <w:b/>
                <w:bCs/>
              </w:rPr>
              <w:t>Базовий сценарій</w:t>
            </w:r>
          </w:p>
        </w:tc>
        <w:tc>
          <w:tcPr>
            <w:tcW w:w="2234" w:type="dxa"/>
            <w:vAlign w:val="center"/>
          </w:tcPr>
          <w:p w:rsidR="00B8517F" w:rsidRPr="00B8517F" w:rsidRDefault="00B8517F" w:rsidP="00FE1030">
            <w:pPr>
              <w:spacing w:after="0" w:line="240" w:lineRule="auto"/>
              <w:jc w:val="center"/>
              <w:rPr>
                <w:rFonts w:ascii="Times New Roman" w:hAnsi="Times New Roman" w:cs="Times New Roman"/>
                <w:b/>
                <w:bCs/>
              </w:rPr>
            </w:pPr>
            <w:r w:rsidRPr="00B8517F">
              <w:rPr>
                <w:rFonts w:ascii="Times New Roman" w:hAnsi="Times New Roman" w:cs="Times New Roman"/>
                <w:b/>
                <w:bCs/>
              </w:rPr>
              <w:t>Альтернативний</w:t>
            </w:r>
          </w:p>
          <w:p w:rsidR="00B8517F" w:rsidRPr="00B8517F" w:rsidRDefault="00B8517F" w:rsidP="00FE1030">
            <w:pPr>
              <w:spacing w:after="0" w:line="240" w:lineRule="auto"/>
              <w:jc w:val="center"/>
              <w:rPr>
                <w:rFonts w:ascii="Times New Roman" w:hAnsi="Times New Roman" w:cs="Times New Roman"/>
                <w:b/>
                <w:bCs/>
              </w:rPr>
            </w:pPr>
            <w:r w:rsidRPr="00B8517F">
              <w:rPr>
                <w:rFonts w:ascii="Times New Roman" w:hAnsi="Times New Roman" w:cs="Times New Roman"/>
                <w:b/>
                <w:bCs/>
              </w:rPr>
              <w:t>сценарій</w:t>
            </w:r>
          </w:p>
        </w:tc>
      </w:tr>
      <w:tr w:rsidR="00B8517F" w:rsidRPr="00B8517F" w:rsidTr="00FE10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1"/>
          <w:wAfter w:w="1559" w:type="dxa"/>
          <w:trHeight w:val="423"/>
          <w:tblHeader/>
        </w:trPr>
        <w:tc>
          <w:tcPr>
            <w:tcW w:w="5103" w:type="dxa"/>
            <w:vAlign w:val="center"/>
          </w:tcPr>
          <w:p w:rsidR="00B8517F" w:rsidRPr="00B8517F" w:rsidRDefault="00B8517F" w:rsidP="00FE1030">
            <w:pPr>
              <w:spacing w:after="0" w:line="240" w:lineRule="auto"/>
            </w:pPr>
            <w:r w:rsidRPr="00B8517F">
              <w:rPr>
                <w:rFonts w:ascii="Times New Roman" w:hAnsi="Times New Roman" w:cs="Times New Roman"/>
                <w:b/>
              </w:rPr>
              <w:t>Валовий внутрішній продукт:</w:t>
            </w:r>
          </w:p>
        </w:tc>
        <w:tc>
          <w:tcPr>
            <w:tcW w:w="2444" w:type="dxa"/>
            <w:vAlign w:val="center"/>
          </w:tcPr>
          <w:p w:rsidR="00B8517F" w:rsidRPr="00B8517F" w:rsidRDefault="00B8517F" w:rsidP="00FE1030">
            <w:pPr>
              <w:spacing w:after="0" w:line="240" w:lineRule="auto"/>
              <w:jc w:val="center"/>
              <w:rPr>
                <w:rFonts w:ascii="Times New Roman" w:hAnsi="Times New Roman" w:cs="Times New Roman"/>
              </w:rPr>
            </w:pPr>
          </w:p>
        </w:tc>
        <w:tc>
          <w:tcPr>
            <w:tcW w:w="2234" w:type="dxa"/>
            <w:vAlign w:val="center"/>
          </w:tcPr>
          <w:p w:rsidR="00B8517F" w:rsidRPr="00B8517F" w:rsidRDefault="00B8517F" w:rsidP="00FE1030">
            <w:pPr>
              <w:spacing w:after="0" w:line="240" w:lineRule="auto"/>
              <w:jc w:val="center"/>
              <w:rPr>
                <w:rFonts w:ascii="Times New Roman" w:hAnsi="Times New Roman" w:cs="Times New Roman"/>
              </w:rPr>
            </w:pPr>
          </w:p>
        </w:tc>
      </w:tr>
      <w:tr w:rsidR="00B8517F" w:rsidRPr="00B8517F" w:rsidTr="00FE10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1"/>
          <w:wAfter w:w="1559" w:type="dxa"/>
          <w:trHeight w:val="423"/>
          <w:tblHeader/>
        </w:trPr>
        <w:tc>
          <w:tcPr>
            <w:tcW w:w="5103" w:type="dxa"/>
            <w:vAlign w:val="center"/>
          </w:tcPr>
          <w:p w:rsidR="00B8517F" w:rsidRPr="00B8517F" w:rsidRDefault="00B8517F" w:rsidP="00FE1030">
            <w:pPr>
              <w:spacing w:after="0" w:line="240" w:lineRule="auto"/>
              <w:rPr>
                <w:rFonts w:ascii="Times New Roman" w:hAnsi="Times New Roman" w:cs="Times New Roman"/>
              </w:rPr>
            </w:pPr>
            <w:r w:rsidRPr="00B8517F">
              <w:rPr>
                <w:rFonts w:ascii="Times New Roman" w:hAnsi="Times New Roman" w:cs="Times New Roman"/>
              </w:rPr>
              <w:t>номінальний, млрд грн</w:t>
            </w:r>
          </w:p>
        </w:tc>
        <w:tc>
          <w:tcPr>
            <w:tcW w:w="2444" w:type="dxa"/>
            <w:vAlign w:val="center"/>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 xml:space="preserve">5 368,7 </w:t>
            </w:r>
          </w:p>
        </w:tc>
        <w:tc>
          <w:tcPr>
            <w:tcW w:w="2234" w:type="dxa"/>
            <w:vAlign w:val="center"/>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5 579,7</w:t>
            </w:r>
          </w:p>
        </w:tc>
      </w:tr>
      <w:tr w:rsidR="00B8517F" w:rsidRPr="00B8517F" w:rsidTr="00FE10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1"/>
          <w:wAfter w:w="1559" w:type="dxa"/>
          <w:trHeight w:val="324"/>
        </w:trPr>
        <w:tc>
          <w:tcPr>
            <w:tcW w:w="5103" w:type="dxa"/>
            <w:vAlign w:val="center"/>
            <w:hideMark/>
          </w:tcPr>
          <w:p w:rsidR="00B8517F" w:rsidRPr="00B8517F" w:rsidRDefault="00B8517F" w:rsidP="00FE1030">
            <w:pPr>
              <w:spacing w:after="0" w:line="240" w:lineRule="auto"/>
              <w:rPr>
                <w:rFonts w:ascii="Times New Roman" w:hAnsi="Times New Roman" w:cs="Times New Roman"/>
              </w:rPr>
            </w:pPr>
            <w:r w:rsidRPr="00B8517F">
              <w:rPr>
                <w:rFonts w:ascii="Times New Roman" w:hAnsi="Times New Roman" w:cs="Times New Roman"/>
              </w:rPr>
              <w:t>% до попереднього року</w:t>
            </w:r>
          </w:p>
        </w:tc>
        <w:tc>
          <w:tcPr>
            <w:tcW w:w="2444" w:type="dxa"/>
            <w:vAlign w:val="center"/>
            <w:hideMark/>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103,8</w:t>
            </w:r>
          </w:p>
        </w:tc>
        <w:tc>
          <w:tcPr>
            <w:tcW w:w="2234" w:type="dxa"/>
            <w:vAlign w:val="center"/>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102,6</w:t>
            </w:r>
          </w:p>
        </w:tc>
      </w:tr>
      <w:tr w:rsidR="00B8517F" w:rsidRPr="00B8517F" w:rsidTr="00FE10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1"/>
          <w:wAfter w:w="1559" w:type="dxa"/>
          <w:trHeight w:val="324"/>
        </w:trPr>
        <w:tc>
          <w:tcPr>
            <w:tcW w:w="5103" w:type="dxa"/>
            <w:vAlign w:val="center"/>
            <w:hideMark/>
          </w:tcPr>
          <w:p w:rsidR="00B8517F" w:rsidRPr="00B8517F" w:rsidRDefault="00B8517F" w:rsidP="00FE1030">
            <w:pPr>
              <w:spacing w:after="0" w:line="240" w:lineRule="auto"/>
              <w:rPr>
                <w:rFonts w:ascii="Times New Roman" w:hAnsi="Times New Roman" w:cs="Times New Roman"/>
                <w:b/>
              </w:rPr>
            </w:pPr>
            <w:r w:rsidRPr="00B8517F">
              <w:rPr>
                <w:rFonts w:ascii="Times New Roman" w:hAnsi="Times New Roman" w:cs="Times New Roman"/>
                <w:b/>
              </w:rPr>
              <w:t>Індекс споживчих цін: </w:t>
            </w:r>
          </w:p>
        </w:tc>
        <w:tc>
          <w:tcPr>
            <w:tcW w:w="2444" w:type="dxa"/>
            <w:vAlign w:val="center"/>
          </w:tcPr>
          <w:p w:rsidR="00B8517F" w:rsidRPr="00B8517F" w:rsidRDefault="00B8517F" w:rsidP="00FE1030">
            <w:pPr>
              <w:spacing w:after="0" w:line="240" w:lineRule="auto"/>
              <w:rPr>
                <w:rFonts w:ascii="Times New Roman" w:hAnsi="Times New Roman" w:cs="Times New Roman"/>
                <w:b/>
              </w:rPr>
            </w:pPr>
          </w:p>
        </w:tc>
        <w:tc>
          <w:tcPr>
            <w:tcW w:w="2234" w:type="dxa"/>
            <w:vAlign w:val="center"/>
          </w:tcPr>
          <w:p w:rsidR="00B8517F" w:rsidRPr="00B8517F" w:rsidRDefault="00B8517F" w:rsidP="00FE1030">
            <w:pPr>
              <w:spacing w:after="0" w:line="240" w:lineRule="auto"/>
              <w:rPr>
                <w:rFonts w:ascii="Times New Roman" w:hAnsi="Times New Roman" w:cs="Times New Roman"/>
                <w:b/>
              </w:rPr>
            </w:pPr>
          </w:p>
        </w:tc>
      </w:tr>
      <w:tr w:rsidR="00B8517F" w:rsidRPr="00B8517F" w:rsidTr="00FE10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1"/>
          <w:wAfter w:w="1559" w:type="dxa"/>
          <w:trHeight w:val="324"/>
        </w:trPr>
        <w:tc>
          <w:tcPr>
            <w:tcW w:w="5103" w:type="dxa"/>
            <w:vAlign w:val="center"/>
            <w:hideMark/>
          </w:tcPr>
          <w:p w:rsidR="00B8517F" w:rsidRPr="00B8517F" w:rsidRDefault="00B8517F" w:rsidP="00FE1030">
            <w:pPr>
              <w:spacing w:after="0" w:line="240" w:lineRule="auto"/>
              <w:rPr>
                <w:rFonts w:ascii="Times New Roman" w:hAnsi="Times New Roman" w:cs="Times New Roman"/>
              </w:rPr>
            </w:pPr>
            <w:r w:rsidRPr="00B8517F">
              <w:rPr>
                <w:rFonts w:ascii="Times New Roman" w:hAnsi="Times New Roman" w:cs="Times New Roman"/>
              </w:rPr>
              <w:t>у середньому до попереднього року, %</w:t>
            </w:r>
          </w:p>
        </w:tc>
        <w:tc>
          <w:tcPr>
            <w:tcW w:w="2444" w:type="dxa"/>
            <w:vAlign w:val="center"/>
            <w:hideMark/>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107,2</w:t>
            </w:r>
          </w:p>
        </w:tc>
        <w:tc>
          <w:tcPr>
            <w:tcW w:w="2234" w:type="dxa"/>
            <w:vAlign w:val="center"/>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107,3</w:t>
            </w:r>
          </w:p>
        </w:tc>
      </w:tr>
      <w:tr w:rsidR="00B8517F" w:rsidRPr="00B8517F" w:rsidTr="00FE10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1"/>
          <w:wAfter w:w="1559" w:type="dxa"/>
          <w:trHeight w:val="312"/>
        </w:trPr>
        <w:tc>
          <w:tcPr>
            <w:tcW w:w="5103" w:type="dxa"/>
            <w:vAlign w:val="center"/>
            <w:hideMark/>
          </w:tcPr>
          <w:p w:rsidR="00B8517F" w:rsidRPr="00B8517F" w:rsidRDefault="00B8517F" w:rsidP="00FE1030">
            <w:pPr>
              <w:spacing w:after="0" w:line="240" w:lineRule="auto"/>
              <w:rPr>
                <w:rFonts w:ascii="Times New Roman" w:hAnsi="Times New Roman" w:cs="Times New Roman"/>
              </w:rPr>
            </w:pPr>
            <w:r w:rsidRPr="00B8517F">
              <w:rPr>
                <w:rFonts w:ascii="Times New Roman" w:hAnsi="Times New Roman" w:cs="Times New Roman"/>
              </w:rPr>
              <w:t>грудень до грудня попереднього року, %</w:t>
            </w:r>
          </w:p>
        </w:tc>
        <w:tc>
          <w:tcPr>
            <w:tcW w:w="2444" w:type="dxa"/>
            <w:vAlign w:val="center"/>
            <w:hideMark/>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106,2</w:t>
            </w:r>
          </w:p>
        </w:tc>
        <w:tc>
          <w:tcPr>
            <w:tcW w:w="2234" w:type="dxa"/>
            <w:vAlign w:val="center"/>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106,4</w:t>
            </w:r>
          </w:p>
        </w:tc>
      </w:tr>
      <w:tr w:rsidR="00B8517F" w:rsidRPr="00B8517F" w:rsidTr="00FE10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1"/>
          <w:wAfter w:w="1559" w:type="dxa"/>
          <w:trHeight w:val="312"/>
        </w:trPr>
        <w:tc>
          <w:tcPr>
            <w:tcW w:w="5103" w:type="dxa"/>
            <w:vAlign w:val="center"/>
            <w:hideMark/>
          </w:tcPr>
          <w:p w:rsidR="00B8517F" w:rsidRPr="00B8517F" w:rsidRDefault="00B8517F" w:rsidP="00FE1030">
            <w:pPr>
              <w:spacing w:after="0" w:line="240" w:lineRule="auto"/>
              <w:rPr>
                <w:rFonts w:ascii="Times New Roman" w:hAnsi="Times New Roman" w:cs="Times New Roman"/>
              </w:rPr>
            </w:pPr>
            <w:r w:rsidRPr="00B8517F">
              <w:rPr>
                <w:rFonts w:ascii="Times New Roman" w:hAnsi="Times New Roman" w:cs="Times New Roman"/>
                <w:b/>
              </w:rPr>
              <w:t>Індекс цін виробників промислової продукції,</w:t>
            </w:r>
            <w:r w:rsidRPr="00B8517F">
              <w:rPr>
                <w:rFonts w:ascii="Times New Roman" w:hAnsi="Times New Roman" w:cs="Times New Roman"/>
              </w:rPr>
              <w:t xml:space="preserve"> у середньому до попереднього року, %</w:t>
            </w:r>
          </w:p>
        </w:tc>
        <w:tc>
          <w:tcPr>
            <w:tcW w:w="2444" w:type="dxa"/>
            <w:vAlign w:val="center"/>
            <w:hideMark/>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107,9</w:t>
            </w:r>
          </w:p>
        </w:tc>
        <w:tc>
          <w:tcPr>
            <w:tcW w:w="2234" w:type="dxa"/>
            <w:vAlign w:val="center"/>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109,7</w:t>
            </w:r>
          </w:p>
        </w:tc>
      </w:tr>
      <w:tr w:rsidR="00B8517F" w:rsidRPr="00B8517F" w:rsidTr="00FE10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1"/>
          <w:wAfter w:w="1559" w:type="dxa"/>
          <w:trHeight w:val="312"/>
        </w:trPr>
        <w:tc>
          <w:tcPr>
            <w:tcW w:w="5103" w:type="dxa"/>
            <w:vAlign w:val="center"/>
            <w:hideMark/>
          </w:tcPr>
          <w:p w:rsidR="00B8517F" w:rsidRPr="00B8517F" w:rsidRDefault="00B8517F" w:rsidP="00FE1030">
            <w:pPr>
              <w:spacing w:after="0" w:line="240" w:lineRule="auto"/>
              <w:rPr>
                <w:rFonts w:ascii="Times New Roman" w:hAnsi="Times New Roman" w:cs="Times New Roman"/>
              </w:rPr>
            </w:pPr>
            <w:r w:rsidRPr="00B8517F">
              <w:rPr>
                <w:rFonts w:ascii="Times New Roman" w:hAnsi="Times New Roman" w:cs="Times New Roman"/>
                <w:b/>
              </w:rPr>
              <w:t>Рівень безробіття</w:t>
            </w:r>
            <w:r w:rsidRPr="00B8517F">
              <w:rPr>
                <w:rFonts w:ascii="Times New Roman" w:hAnsi="Times New Roman" w:cs="Times New Roman"/>
              </w:rPr>
              <w:t xml:space="preserve"> населення у віці 15 – 70 років за методологією Міжнародної організації праці, % до робочої сили відповідної вікової групи</w:t>
            </w:r>
          </w:p>
        </w:tc>
        <w:tc>
          <w:tcPr>
            <w:tcW w:w="2444" w:type="dxa"/>
            <w:vAlign w:val="center"/>
            <w:hideMark/>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8,5</w:t>
            </w:r>
          </w:p>
        </w:tc>
        <w:tc>
          <w:tcPr>
            <w:tcW w:w="2234" w:type="dxa"/>
            <w:vAlign w:val="center"/>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8,9</w:t>
            </w:r>
          </w:p>
        </w:tc>
      </w:tr>
      <w:tr w:rsidR="00B8517F" w:rsidRPr="00B8517F" w:rsidTr="00FE10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1"/>
          <w:wAfter w:w="1559" w:type="dxa"/>
          <w:trHeight w:val="636"/>
        </w:trPr>
        <w:tc>
          <w:tcPr>
            <w:tcW w:w="5103" w:type="dxa"/>
            <w:vAlign w:val="center"/>
            <w:hideMark/>
          </w:tcPr>
          <w:p w:rsidR="00B8517F" w:rsidRPr="00B8517F" w:rsidRDefault="00B8517F" w:rsidP="00FE1030">
            <w:pPr>
              <w:spacing w:after="0" w:line="240" w:lineRule="auto"/>
              <w:rPr>
                <w:rFonts w:ascii="Times New Roman" w:hAnsi="Times New Roman" w:cs="Times New Roman"/>
                <w:lang w:val="ru-RU"/>
              </w:rPr>
            </w:pPr>
            <w:r w:rsidRPr="00B8517F">
              <w:rPr>
                <w:rFonts w:ascii="Times New Roman" w:hAnsi="Times New Roman" w:cs="Times New Roman"/>
                <w:b/>
              </w:rPr>
              <w:t>Сальдо торговельного балансу</w:t>
            </w:r>
            <w:r w:rsidRPr="00B8517F">
              <w:rPr>
                <w:rFonts w:ascii="Times New Roman" w:hAnsi="Times New Roman" w:cs="Times New Roman"/>
              </w:rPr>
              <w:t xml:space="preserve"> (за методологією платіжного балансу), млн доларів США</w:t>
            </w:r>
          </w:p>
        </w:tc>
        <w:tc>
          <w:tcPr>
            <w:tcW w:w="2444" w:type="dxa"/>
            <w:vAlign w:val="center"/>
            <w:hideMark/>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-8 595</w:t>
            </w:r>
          </w:p>
        </w:tc>
        <w:tc>
          <w:tcPr>
            <w:tcW w:w="2234" w:type="dxa"/>
            <w:vAlign w:val="center"/>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-8 330</w:t>
            </w:r>
          </w:p>
        </w:tc>
      </w:tr>
      <w:tr w:rsidR="00B8517F" w:rsidRPr="00B8517F" w:rsidTr="00FE10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1"/>
          <w:wAfter w:w="1559" w:type="dxa"/>
          <w:trHeight w:val="636"/>
        </w:trPr>
        <w:tc>
          <w:tcPr>
            <w:tcW w:w="5103" w:type="dxa"/>
            <w:vAlign w:val="center"/>
            <w:hideMark/>
          </w:tcPr>
          <w:p w:rsidR="00B8517F" w:rsidRPr="00B8517F" w:rsidRDefault="00B8517F" w:rsidP="00FE1030">
            <w:pPr>
              <w:spacing w:after="0" w:line="240" w:lineRule="auto"/>
              <w:rPr>
                <w:rFonts w:ascii="Times New Roman" w:hAnsi="Times New Roman" w:cs="Times New Roman"/>
              </w:rPr>
            </w:pPr>
            <w:r w:rsidRPr="00B8517F">
              <w:rPr>
                <w:rFonts w:ascii="Times New Roman" w:hAnsi="Times New Roman" w:cs="Times New Roman"/>
                <w:b/>
              </w:rPr>
              <w:t>Експорт товарів та послуг</w:t>
            </w:r>
            <w:r w:rsidRPr="00B8517F">
              <w:rPr>
                <w:rFonts w:ascii="Times New Roman" w:hAnsi="Times New Roman" w:cs="Times New Roman"/>
              </w:rPr>
              <w:t xml:space="preserve"> (за методологією платіжного балансу), млн доларів США</w:t>
            </w:r>
          </w:p>
        </w:tc>
        <w:tc>
          <w:tcPr>
            <w:tcW w:w="2444" w:type="dxa"/>
            <w:vAlign w:val="center"/>
            <w:hideMark/>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70 286</w:t>
            </w:r>
          </w:p>
        </w:tc>
        <w:tc>
          <w:tcPr>
            <w:tcW w:w="2234" w:type="dxa"/>
            <w:vAlign w:val="center"/>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69 333</w:t>
            </w:r>
          </w:p>
        </w:tc>
      </w:tr>
      <w:tr w:rsidR="00B8517F" w:rsidRPr="00B8517F" w:rsidTr="00FE10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1"/>
          <w:wAfter w:w="1559" w:type="dxa"/>
          <w:trHeight w:val="445"/>
        </w:trPr>
        <w:tc>
          <w:tcPr>
            <w:tcW w:w="5103" w:type="dxa"/>
            <w:vAlign w:val="center"/>
            <w:hideMark/>
          </w:tcPr>
          <w:p w:rsidR="00B8517F" w:rsidRPr="00B8517F" w:rsidRDefault="00B8517F" w:rsidP="00FE1030">
            <w:pPr>
              <w:spacing w:after="0" w:line="240" w:lineRule="auto"/>
              <w:rPr>
                <w:rFonts w:ascii="Times New Roman" w:hAnsi="Times New Roman" w:cs="Times New Roman"/>
              </w:rPr>
            </w:pPr>
            <w:r w:rsidRPr="00B8517F">
              <w:rPr>
                <w:rFonts w:ascii="Times New Roman" w:hAnsi="Times New Roman" w:cs="Times New Roman"/>
              </w:rPr>
              <w:t xml:space="preserve">Експорт товарів та послуг, % до попереднього року </w:t>
            </w:r>
          </w:p>
        </w:tc>
        <w:tc>
          <w:tcPr>
            <w:tcW w:w="2444" w:type="dxa"/>
            <w:vAlign w:val="center"/>
            <w:hideMark/>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106,5</w:t>
            </w:r>
          </w:p>
        </w:tc>
        <w:tc>
          <w:tcPr>
            <w:tcW w:w="2234" w:type="dxa"/>
            <w:vAlign w:val="center"/>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105,1</w:t>
            </w:r>
          </w:p>
        </w:tc>
      </w:tr>
      <w:tr w:rsidR="00B8517F" w:rsidRPr="00B8517F" w:rsidTr="00FE10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1"/>
          <w:wAfter w:w="1559" w:type="dxa"/>
          <w:trHeight w:val="636"/>
        </w:trPr>
        <w:tc>
          <w:tcPr>
            <w:tcW w:w="5103" w:type="dxa"/>
            <w:vAlign w:val="center"/>
            <w:hideMark/>
          </w:tcPr>
          <w:p w:rsidR="00B8517F" w:rsidRPr="00B8517F" w:rsidRDefault="00B8517F" w:rsidP="00FE1030">
            <w:pPr>
              <w:spacing w:after="0" w:line="240" w:lineRule="auto"/>
              <w:rPr>
                <w:rFonts w:ascii="Times New Roman" w:hAnsi="Times New Roman" w:cs="Times New Roman"/>
              </w:rPr>
            </w:pPr>
            <w:r w:rsidRPr="00B8517F">
              <w:rPr>
                <w:rFonts w:ascii="Times New Roman" w:hAnsi="Times New Roman" w:cs="Times New Roman"/>
                <w:b/>
              </w:rPr>
              <w:t xml:space="preserve">Імпорт товарів та послуг </w:t>
            </w:r>
            <w:r w:rsidRPr="00B8517F">
              <w:rPr>
                <w:rFonts w:ascii="Times New Roman" w:hAnsi="Times New Roman" w:cs="Times New Roman"/>
              </w:rPr>
              <w:t>(за методологією платіжного балансу), млн доларів США</w:t>
            </w:r>
          </w:p>
        </w:tc>
        <w:tc>
          <w:tcPr>
            <w:tcW w:w="2444" w:type="dxa"/>
            <w:vAlign w:val="center"/>
            <w:hideMark/>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78 881</w:t>
            </w:r>
          </w:p>
        </w:tc>
        <w:tc>
          <w:tcPr>
            <w:tcW w:w="2234" w:type="dxa"/>
            <w:vAlign w:val="center"/>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77 663</w:t>
            </w:r>
          </w:p>
        </w:tc>
      </w:tr>
      <w:tr w:rsidR="00B8517F" w:rsidRPr="00B8517F" w:rsidTr="00FE10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1"/>
          <w:wAfter w:w="1559" w:type="dxa"/>
          <w:trHeight w:val="475"/>
        </w:trPr>
        <w:tc>
          <w:tcPr>
            <w:tcW w:w="5103" w:type="dxa"/>
            <w:tcBorders>
              <w:bottom w:val="single" w:sz="4" w:space="0" w:color="auto"/>
            </w:tcBorders>
            <w:vAlign w:val="center"/>
            <w:hideMark/>
          </w:tcPr>
          <w:p w:rsidR="00B8517F" w:rsidRPr="00B8517F" w:rsidRDefault="00B8517F" w:rsidP="00FE1030">
            <w:pPr>
              <w:spacing w:after="0" w:line="240" w:lineRule="auto"/>
              <w:rPr>
                <w:rFonts w:ascii="Times New Roman" w:hAnsi="Times New Roman" w:cs="Times New Roman"/>
              </w:rPr>
            </w:pPr>
            <w:r w:rsidRPr="00B8517F">
              <w:rPr>
                <w:rFonts w:ascii="Times New Roman" w:hAnsi="Times New Roman" w:cs="Times New Roman"/>
              </w:rPr>
              <w:t>Імпорт товарів та послуг, % до попереднього року</w:t>
            </w:r>
          </w:p>
        </w:tc>
        <w:tc>
          <w:tcPr>
            <w:tcW w:w="2444" w:type="dxa"/>
            <w:tcBorders>
              <w:bottom w:val="single" w:sz="4" w:space="0" w:color="auto"/>
            </w:tcBorders>
            <w:vAlign w:val="center"/>
            <w:hideMark/>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109,2</w:t>
            </w:r>
          </w:p>
        </w:tc>
        <w:tc>
          <w:tcPr>
            <w:tcW w:w="2234" w:type="dxa"/>
            <w:tcBorders>
              <w:bottom w:val="single" w:sz="4" w:space="0" w:color="auto"/>
            </w:tcBorders>
            <w:vAlign w:val="center"/>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107,5</w:t>
            </w:r>
          </w:p>
        </w:tc>
      </w:tr>
      <w:tr w:rsidR="00B8517F" w:rsidRPr="00B8517F" w:rsidTr="00FE10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1"/>
          <w:wAfter w:w="1559" w:type="dxa"/>
          <w:trHeight w:val="424"/>
        </w:trPr>
        <w:tc>
          <w:tcPr>
            <w:tcW w:w="5103" w:type="dxa"/>
            <w:tcBorders>
              <w:right w:val="single" w:sz="4" w:space="0" w:color="auto"/>
            </w:tcBorders>
            <w:vAlign w:val="center"/>
          </w:tcPr>
          <w:p w:rsidR="00B8517F" w:rsidRPr="00B8517F" w:rsidRDefault="00B8517F" w:rsidP="00FE1030">
            <w:pPr>
              <w:spacing w:after="0" w:line="240" w:lineRule="auto"/>
              <w:rPr>
                <w:rFonts w:ascii="Times New Roman" w:hAnsi="Times New Roman" w:cs="Times New Roman"/>
                <w:b/>
              </w:rPr>
            </w:pPr>
            <w:r w:rsidRPr="00B8517F">
              <w:rPr>
                <w:rFonts w:ascii="Times New Roman" w:hAnsi="Times New Roman" w:cs="Times New Roman"/>
                <w:b/>
              </w:rPr>
              <w:t>Окремі припущення</w:t>
            </w:r>
          </w:p>
        </w:tc>
        <w:tc>
          <w:tcPr>
            <w:tcW w:w="2444" w:type="dxa"/>
            <w:tcBorders>
              <w:right w:val="single" w:sz="4" w:space="0" w:color="auto"/>
            </w:tcBorders>
            <w:vAlign w:val="center"/>
          </w:tcPr>
          <w:p w:rsidR="00B8517F" w:rsidRPr="00B8517F" w:rsidRDefault="00B8517F" w:rsidP="00FE1030">
            <w:pPr>
              <w:spacing w:after="0" w:line="240" w:lineRule="auto"/>
              <w:rPr>
                <w:rFonts w:ascii="Times New Roman" w:hAnsi="Times New Roman" w:cs="Times New Roman"/>
                <w:b/>
              </w:rPr>
            </w:pPr>
          </w:p>
        </w:tc>
        <w:tc>
          <w:tcPr>
            <w:tcW w:w="2234" w:type="dxa"/>
            <w:tcBorders>
              <w:right w:val="single" w:sz="4" w:space="0" w:color="auto"/>
            </w:tcBorders>
            <w:vAlign w:val="center"/>
          </w:tcPr>
          <w:p w:rsidR="00B8517F" w:rsidRPr="00B8517F" w:rsidRDefault="00B8517F" w:rsidP="00FE1030">
            <w:pPr>
              <w:spacing w:after="0" w:line="240" w:lineRule="auto"/>
              <w:rPr>
                <w:rFonts w:ascii="Times New Roman" w:hAnsi="Times New Roman" w:cs="Times New Roman"/>
                <w:b/>
              </w:rPr>
            </w:pPr>
          </w:p>
        </w:tc>
      </w:tr>
      <w:tr w:rsidR="00B8517F" w:rsidRPr="00B8517F" w:rsidTr="00FE10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1"/>
          <w:wAfter w:w="1559" w:type="dxa"/>
          <w:trHeight w:val="273"/>
        </w:trPr>
        <w:tc>
          <w:tcPr>
            <w:tcW w:w="5103" w:type="dxa"/>
            <w:vAlign w:val="center"/>
          </w:tcPr>
          <w:p w:rsidR="00B8517F" w:rsidRPr="00B8517F" w:rsidRDefault="00B8517F" w:rsidP="00FE1030">
            <w:pPr>
              <w:spacing w:after="0" w:line="240" w:lineRule="auto"/>
              <w:rPr>
                <w:rFonts w:ascii="Times New Roman" w:hAnsi="Times New Roman" w:cs="Times New Roman"/>
                <w:b/>
              </w:rPr>
            </w:pPr>
            <w:r w:rsidRPr="00B8517F">
              <w:rPr>
                <w:rFonts w:ascii="Times New Roman" w:hAnsi="Times New Roman" w:cs="Times New Roman"/>
                <w:b/>
              </w:rPr>
              <w:t>Обмінний курс гривні до долара США, гривень за долар США</w:t>
            </w:r>
          </w:p>
        </w:tc>
        <w:tc>
          <w:tcPr>
            <w:tcW w:w="2444" w:type="dxa"/>
            <w:vAlign w:val="center"/>
          </w:tcPr>
          <w:p w:rsidR="00B8517F" w:rsidRPr="00B8517F" w:rsidRDefault="00B8517F" w:rsidP="00FE1030">
            <w:pPr>
              <w:spacing w:after="0" w:line="240" w:lineRule="auto"/>
              <w:rPr>
                <w:rFonts w:ascii="Times New Roman" w:hAnsi="Times New Roman" w:cs="Times New Roman"/>
                <w:b/>
              </w:rPr>
            </w:pPr>
          </w:p>
        </w:tc>
        <w:tc>
          <w:tcPr>
            <w:tcW w:w="2234" w:type="dxa"/>
            <w:vAlign w:val="center"/>
          </w:tcPr>
          <w:p w:rsidR="00B8517F" w:rsidRPr="00B8517F" w:rsidRDefault="00B8517F" w:rsidP="00FE1030">
            <w:pPr>
              <w:spacing w:after="0" w:line="240" w:lineRule="auto"/>
              <w:rPr>
                <w:rFonts w:ascii="Times New Roman" w:hAnsi="Times New Roman" w:cs="Times New Roman"/>
                <w:b/>
              </w:rPr>
            </w:pPr>
          </w:p>
        </w:tc>
      </w:tr>
      <w:tr w:rsidR="00B8517F" w:rsidRPr="00B8517F" w:rsidTr="00FE10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1"/>
          <w:wAfter w:w="1559" w:type="dxa"/>
          <w:trHeight w:val="358"/>
        </w:trPr>
        <w:tc>
          <w:tcPr>
            <w:tcW w:w="5103" w:type="dxa"/>
            <w:vAlign w:val="center"/>
          </w:tcPr>
          <w:p w:rsidR="00B8517F" w:rsidRPr="00B8517F" w:rsidRDefault="00B8517F" w:rsidP="00FE1030">
            <w:pPr>
              <w:spacing w:after="0" w:line="240" w:lineRule="auto"/>
              <w:rPr>
                <w:rFonts w:ascii="Times New Roman" w:hAnsi="Times New Roman" w:cs="Times New Roman"/>
                <w:i/>
              </w:rPr>
            </w:pPr>
            <w:r w:rsidRPr="00B8517F">
              <w:rPr>
                <w:rFonts w:ascii="Times New Roman" w:hAnsi="Times New Roman" w:cs="Times New Roman"/>
                <w:i/>
              </w:rPr>
              <w:t>у середньому за період</w:t>
            </w:r>
          </w:p>
        </w:tc>
        <w:tc>
          <w:tcPr>
            <w:tcW w:w="2444" w:type="dxa"/>
            <w:vAlign w:val="center"/>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28,6</w:t>
            </w:r>
          </w:p>
        </w:tc>
        <w:tc>
          <w:tcPr>
            <w:tcW w:w="2234" w:type="dxa"/>
            <w:vAlign w:val="center"/>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28,4</w:t>
            </w:r>
          </w:p>
        </w:tc>
      </w:tr>
      <w:tr w:rsidR="00B8517F" w:rsidRPr="00B8517F" w:rsidTr="00FE10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1"/>
          <w:wAfter w:w="1559" w:type="dxa"/>
          <w:trHeight w:val="405"/>
        </w:trPr>
        <w:tc>
          <w:tcPr>
            <w:tcW w:w="5103" w:type="dxa"/>
            <w:vAlign w:val="center"/>
          </w:tcPr>
          <w:p w:rsidR="00B8517F" w:rsidRPr="00B8517F" w:rsidRDefault="00B8517F" w:rsidP="00FE1030">
            <w:pPr>
              <w:spacing w:after="0" w:line="240" w:lineRule="auto"/>
              <w:rPr>
                <w:rFonts w:ascii="Times New Roman" w:hAnsi="Times New Roman" w:cs="Times New Roman"/>
                <w:i/>
              </w:rPr>
            </w:pPr>
            <w:r w:rsidRPr="00B8517F">
              <w:rPr>
                <w:rFonts w:ascii="Times New Roman" w:hAnsi="Times New Roman" w:cs="Times New Roman"/>
                <w:i/>
              </w:rPr>
              <w:t>на кінець періоду</w:t>
            </w:r>
          </w:p>
        </w:tc>
        <w:tc>
          <w:tcPr>
            <w:tcW w:w="2444" w:type="dxa"/>
            <w:vAlign w:val="center"/>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28,7 [±1]</w:t>
            </w:r>
          </w:p>
        </w:tc>
        <w:tc>
          <w:tcPr>
            <w:tcW w:w="2234" w:type="dxa"/>
            <w:vAlign w:val="center"/>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28,9 [±1]</w:t>
            </w:r>
          </w:p>
        </w:tc>
      </w:tr>
      <w:tr w:rsidR="00B8517F" w:rsidRPr="00B8517F" w:rsidTr="00FE10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1"/>
          <w:wAfter w:w="1559" w:type="dxa"/>
          <w:trHeight w:val="385"/>
        </w:trPr>
        <w:tc>
          <w:tcPr>
            <w:tcW w:w="5103" w:type="dxa"/>
            <w:tcBorders>
              <w:right w:val="single" w:sz="4" w:space="0" w:color="auto"/>
            </w:tcBorders>
            <w:vAlign w:val="center"/>
          </w:tcPr>
          <w:p w:rsidR="00B8517F" w:rsidRPr="00B8517F" w:rsidRDefault="00B8517F" w:rsidP="00FE1030">
            <w:pPr>
              <w:spacing w:after="0" w:line="240" w:lineRule="auto"/>
              <w:rPr>
                <w:rFonts w:ascii="Times New Roman" w:hAnsi="Times New Roman" w:cs="Times New Roman"/>
              </w:rPr>
            </w:pPr>
            <w:r w:rsidRPr="00B8517F">
              <w:rPr>
                <w:rFonts w:ascii="Times New Roman" w:hAnsi="Times New Roman" w:cs="Times New Roman"/>
                <w:b/>
              </w:rPr>
              <w:t>Зовнішні умови</w:t>
            </w:r>
          </w:p>
        </w:tc>
        <w:tc>
          <w:tcPr>
            <w:tcW w:w="2444" w:type="dxa"/>
            <w:tcBorders>
              <w:right w:val="single" w:sz="4" w:space="0" w:color="auto"/>
            </w:tcBorders>
            <w:vAlign w:val="center"/>
          </w:tcPr>
          <w:p w:rsidR="00B8517F" w:rsidRPr="00B8517F" w:rsidRDefault="00B8517F" w:rsidP="00FE1030">
            <w:pPr>
              <w:spacing w:after="0" w:line="240" w:lineRule="auto"/>
              <w:rPr>
                <w:rFonts w:ascii="Times New Roman" w:hAnsi="Times New Roman" w:cs="Times New Roman"/>
              </w:rPr>
            </w:pPr>
          </w:p>
        </w:tc>
        <w:tc>
          <w:tcPr>
            <w:tcW w:w="2234" w:type="dxa"/>
            <w:tcBorders>
              <w:right w:val="single" w:sz="4" w:space="0" w:color="auto"/>
            </w:tcBorders>
            <w:vAlign w:val="center"/>
          </w:tcPr>
          <w:p w:rsidR="00B8517F" w:rsidRPr="00B8517F" w:rsidRDefault="00B8517F" w:rsidP="00FE1030">
            <w:pPr>
              <w:spacing w:after="0" w:line="240" w:lineRule="auto"/>
              <w:rPr>
                <w:rFonts w:ascii="Times New Roman" w:hAnsi="Times New Roman" w:cs="Times New Roman"/>
              </w:rPr>
            </w:pPr>
          </w:p>
        </w:tc>
      </w:tr>
      <w:tr w:rsidR="00B8517F" w:rsidRPr="00B8517F" w:rsidTr="00FE10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1"/>
          <w:wAfter w:w="1559" w:type="dxa"/>
          <w:trHeight w:val="333"/>
        </w:trPr>
        <w:tc>
          <w:tcPr>
            <w:tcW w:w="5103" w:type="dxa"/>
            <w:vAlign w:val="center"/>
          </w:tcPr>
          <w:p w:rsidR="00B8517F" w:rsidRPr="00B8517F" w:rsidRDefault="00B8517F" w:rsidP="00FE1030">
            <w:pPr>
              <w:spacing w:after="0" w:line="240" w:lineRule="auto"/>
              <w:rPr>
                <w:rFonts w:ascii="Times New Roman" w:hAnsi="Times New Roman" w:cs="Times New Roman"/>
              </w:rPr>
            </w:pPr>
            <w:r w:rsidRPr="00B8517F">
              <w:rPr>
                <w:rFonts w:ascii="Times New Roman" w:hAnsi="Times New Roman" w:cs="Times New Roman"/>
              </w:rPr>
              <w:t xml:space="preserve">Середньорічна ціна на нафту марки </w:t>
            </w:r>
            <w:proofErr w:type="spellStart"/>
            <w:r w:rsidRPr="00B8517F">
              <w:rPr>
                <w:rFonts w:ascii="Times New Roman" w:hAnsi="Times New Roman" w:cs="Times New Roman"/>
              </w:rPr>
              <w:t>Brent</w:t>
            </w:r>
            <w:proofErr w:type="spellEnd"/>
            <w:r w:rsidRPr="00B8517F">
              <w:rPr>
                <w:rFonts w:ascii="Times New Roman" w:hAnsi="Times New Roman" w:cs="Times New Roman"/>
              </w:rPr>
              <w:t xml:space="preserve">, </w:t>
            </w:r>
            <w:proofErr w:type="spellStart"/>
            <w:r w:rsidRPr="00B8517F">
              <w:rPr>
                <w:rFonts w:ascii="Times New Roman" w:hAnsi="Times New Roman" w:cs="Times New Roman"/>
              </w:rPr>
              <w:t>дол</w:t>
            </w:r>
            <w:proofErr w:type="spellEnd"/>
            <w:r w:rsidRPr="00B8517F">
              <w:rPr>
                <w:rFonts w:ascii="Times New Roman" w:hAnsi="Times New Roman" w:cs="Times New Roman"/>
              </w:rPr>
              <w:t xml:space="preserve"> США за барель</w:t>
            </w:r>
          </w:p>
        </w:tc>
        <w:tc>
          <w:tcPr>
            <w:tcW w:w="2444" w:type="dxa"/>
            <w:vAlign w:val="center"/>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65 [±5]</w:t>
            </w:r>
          </w:p>
        </w:tc>
        <w:tc>
          <w:tcPr>
            <w:tcW w:w="2234" w:type="dxa"/>
            <w:vAlign w:val="center"/>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47 [±5]</w:t>
            </w:r>
          </w:p>
        </w:tc>
      </w:tr>
      <w:tr w:rsidR="00B8517F" w:rsidRPr="00B8517F" w:rsidTr="00FE10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1"/>
          <w:wAfter w:w="1559" w:type="dxa"/>
          <w:trHeight w:val="636"/>
        </w:trPr>
        <w:tc>
          <w:tcPr>
            <w:tcW w:w="5103" w:type="dxa"/>
            <w:vAlign w:val="center"/>
          </w:tcPr>
          <w:p w:rsidR="00B8517F" w:rsidRPr="00B8517F" w:rsidRDefault="00B8517F" w:rsidP="00FE1030">
            <w:pPr>
              <w:spacing w:after="0" w:line="240" w:lineRule="auto"/>
              <w:rPr>
                <w:rFonts w:ascii="Times New Roman" w:hAnsi="Times New Roman" w:cs="Times New Roman"/>
              </w:rPr>
            </w:pPr>
            <w:r w:rsidRPr="00B8517F">
              <w:rPr>
                <w:rFonts w:ascii="Times New Roman" w:hAnsi="Times New Roman" w:cs="Times New Roman"/>
              </w:rPr>
              <w:t xml:space="preserve">Середньорічна ціна на імпортований природний газ, </w:t>
            </w:r>
            <w:proofErr w:type="spellStart"/>
            <w:r w:rsidRPr="00B8517F">
              <w:rPr>
                <w:rFonts w:ascii="Times New Roman" w:hAnsi="Times New Roman" w:cs="Times New Roman"/>
              </w:rPr>
              <w:t>дол</w:t>
            </w:r>
            <w:proofErr w:type="spellEnd"/>
            <w:r w:rsidRPr="00B8517F">
              <w:rPr>
                <w:rFonts w:ascii="Times New Roman" w:hAnsi="Times New Roman" w:cs="Times New Roman"/>
              </w:rPr>
              <w:t xml:space="preserve"> США за 1 тис куб м </w:t>
            </w:r>
          </w:p>
        </w:tc>
        <w:tc>
          <w:tcPr>
            <w:tcW w:w="2444" w:type="dxa"/>
            <w:vAlign w:val="center"/>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220 [±5]</w:t>
            </w:r>
          </w:p>
        </w:tc>
        <w:tc>
          <w:tcPr>
            <w:tcW w:w="2234" w:type="dxa"/>
            <w:vAlign w:val="center"/>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203 [±5]</w:t>
            </w:r>
          </w:p>
        </w:tc>
      </w:tr>
      <w:tr w:rsidR="00B8517F" w:rsidRPr="00B8517F" w:rsidTr="00FE10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1"/>
          <w:wAfter w:w="1559" w:type="dxa"/>
          <w:trHeight w:val="636"/>
        </w:trPr>
        <w:tc>
          <w:tcPr>
            <w:tcW w:w="5103" w:type="dxa"/>
            <w:vAlign w:val="center"/>
          </w:tcPr>
          <w:p w:rsidR="00B8517F" w:rsidRPr="00B8517F" w:rsidRDefault="00B8517F" w:rsidP="00FE1030">
            <w:pPr>
              <w:spacing w:after="0" w:line="240" w:lineRule="auto"/>
              <w:rPr>
                <w:rFonts w:ascii="Times New Roman" w:hAnsi="Times New Roman" w:cs="Times New Roman"/>
              </w:rPr>
            </w:pPr>
            <w:r w:rsidRPr="00B8517F">
              <w:rPr>
                <w:rFonts w:ascii="Times New Roman" w:hAnsi="Times New Roman" w:cs="Times New Roman"/>
              </w:rPr>
              <w:t>Індекс світових цін на базові метали, середньорічний приріст/зниження, %</w:t>
            </w:r>
          </w:p>
        </w:tc>
        <w:tc>
          <w:tcPr>
            <w:tcW w:w="2444" w:type="dxa"/>
            <w:vAlign w:val="center"/>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"-"6,6 [±2]</w:t>
            </w:r>
          </w:p>
        </w:tc>
        <w:tc>
          <w:tcPr>
            <w:tcW w:w="2234" w:type="dxa"/>
            <w:vAlign w:val="center"/>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"-"7,0 [±2]</w:t>
            </w:r>
          </w:p>
        </w:tc>
      </w:tr>
      <w:tr w:rsidR="00B8517F" w:rsidRPr="00B8517F" w:rsidTr="00FE10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1"/>
          <w:wAfter w:w="1559" w:type="dxa"/>
          <w:trHeight w:val="636"/>
        </w:trPr>
        <w:tc>
          <w:tcPr>
            <w:tcW w:w="5103" w:type="dxa"/>
            <w:vAlign w:val="center"/>
          </w:tcPr>
          <w:p w:rsidR="00B8517F" w:rsidRPr="00B8517F" w:rsidRDefault="00B8517F" w:rsidP="00FE1030">
            <w:pPr>
              <w:spacing w:after="0" w:line="240" w:lineRule="auto"/>
              <w:rPr>
                <w:rFonts w:ascii="Times New Roman" w:hAnsi="Times New Roman" w:cs="Times New Roman"/>
              </w:rPr>
            </w:pPr>
            <w:r w:rsidRPr="00B8517F">
              <w:rPr>
                <w:rFonts w:ascii="Times New Roman" w:hAnsi="Times New Roman" w:cs="Times New Roman"/>
              </w:rPr>
              <w:t>Світова ціна на залізні руди, середньорічний приріст/зниження, %</w:t>
            </w:r>
          </w:p>
        </w:tc>
        <w:tc>
          <w:tcPr>
            <w:tcW w:w="2444" w:type="dxa"/>
            <w:vAlign w:val="center"/>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"-"25,9 [±2]</w:t>
            </w:r>
          </w:p>
        </w:tc>
        <w:tc>
          <w:tcPr>
            <w:tcW w:w="2234" w:type="dxa"/>
            <w:vAlign w:val="center"/>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"-"28,8 [±2]</w:t>
            </w:r>
          </w:p>
        </w:tc>
      </w:tr>
      <w:tr w:rsidR="00B8517F" w:rsidRPr="00B8517F" w:rsidTr="00FE10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1"/>
          <w:wAfter w:w="1559" w:type="dxa"/>
          <w:trHeight w:val="636"/>
        </w:trPr>
        <w:tc>
          <w:tcPr>
            <w:tcW w:w="5103" w:type="dxa"/>
            <w:vAlign w:val="center"/>
          </w:tcPr>
          <w:p w:rsidR="00B8517F" w:rsidRPr="00B8517F" w:rsidRDefault="00B8517F" w:rsidP="00FE1030">
            <w:pPr>
              <w:spacing w:after="0" w:line="240" w:lineRule="auto"/>
              <w:rPr>
                <w:rFonts w:ascii="Times New Roman" w:hAnsi="Times New Roman" w:cs="Times New Roman"/>
              </w:rPr>
            </w:pPr>
            <w:r w:rsidRPr="00B8517F">
              <w:rPr>
                <w:rFonts w:ascii="Times New Roman" w:hAnsi="Times New Roman" w:cs="Times New Roman"/>
              </w:rPr>
              <w:t>Світова ціна на добрива (</w:t>
            </w:r>
            <w:proofErr w:type="spellStart"/>
            <w:r w:rsidRPr="00B8517F">
              <w:rPr>
                <w:rFonts w:ascii="Times New Roman" w:hAnsi="Times New Roman" w:cs="Times New Roman"/>
              </w:rPr>
              <w:t>мочевина</w:t>
            </w:r>
            <w:proofErr w:type="spellEnd"/>
            <w:r w:rsidRPr="00B8517F">
              <w:rPr>
                <w:rFonts w:ascii="Times New Roman" w:hAnsi="Times New Roman" w:cs="Times New Roman"/>
              </w:rPr>
              <w:t>), середньорічний приріст/зниження, %</w:t>
            </w:r>
          </w:p>
        </w:tc>
        <w:tc>
          <w:tcPr>
            <w:tcW w:w="2444" w:type="dxa"/>
            <w:vAlign w:val="center"/>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1,3 [±2]</w:t>
            </w:r>
          </w:p>
        </w:tc>
        <w:tc>
          <w:tcPr>
            <w:tcW w:w="2234" w:type="dxa"/>
            <w:vAlign w:val="center"/>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"-"2,3 [±2]</w:t>
            </w:r>
          </w:p>
        </w:tc>
      </w:tr>
      <w:tr w:rsidR="00B8517F" w:rsidRPr="00B8517F" w:rsidTr="00FE10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1"/>
          <w:wAfter w:w="1559" w:type="dxa"/>
          <w:trHeight w:val="636"/>
        </w:trPr>
        <w:tc>
          <w:tcPr>
            <w:tcW w:w="5103" w:type="dxa"/>
            <w:vAlign w:val="center"/>
          </w:tcPr>
          <w:p w:rsidR="00B8517F" w:rsidRPr="00B8517F" w:rsidRDefault="00B8517F" w:rsidP="00FE1030">
            <w:pPr>
              <w:spacing w:after="0" w:line="240" w:lineRule="auto"/>
              <w:rPr>
                <w:rFonts w:ascii="Times New Roman" w:hAnsi="Times New Roman" w:cs="Times New Roman"/>
              </w:rPr>
            </w:pPr>
            <w:r w:rsidRPr="00B8517F">
              <w:rPr>
                <w:rFonts w:ascii="Times New Roman" w:hAnsi="Times New Roman" w:cs="Times New Roman"/>
              </w:rPr>
              <w:t>Світова ціна на кукурудзу, середньорічний приріст/зниження, %</w:t>
            </w:r>
          </w:p>
        </w:tc>
        <w:tc>
          <w:tcPr>
            <w:tcW w:w="2444" w:type="dxa"/>
            <w:vAlign w:val="center"/>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1,0 [±2]</w:t>
            </w:r>
          </w:p>
        </w:tc>
        <w:tc>
          <w:tcPr>
            <w:tcW w:w="2234" w:type="dxa"/>
            <w:vAlign w:val="center"/>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"-"2,2 [±2]</w:t>
            </w:r>
          </w:p>
        </w:tc>
      </w:tr>
      <w:tr w:rsidR="00B8517F" w:rsidRPr="00B8517F" w:rsidTr="00FE10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1"/>
          <w:wAfter w:w="1559" w:type="dxa"/>
          <w:trHeight w:val="636"/>
        </w:trPr>
        <w:tc>
          <w:tcPr>
            <w:tcW w:w="5103" w:type="dxa"/>
            <w:vAlign w:val="center"/>
          </w:tcPr>
          <w:p w:rsidR="00B8517F" w:rsidRPr="00B8517F" w:rsidRDefault="00B8517F" w:rsidP="00FE1030">
            <w:pPr>
              <w:spacing w:after="0" w:line="240" w:lineRule="auto"/>
              <w:rPr>
                <w:rFonts w:ascii="Times New Roman" w:hAnsi="Times New Roman" w:cs="Times New Roman"/>
              </w:rPr>
            </w:pPr>
            <w:r w:rsidRPr="00B8517F">
              <w:rPr>
                <w:rFonts w:ascii="Times New Roman" w:hAnsi="Times New Roman" w:cs="Times New Roman"/>
              </w:rPr>
              <w:t>Світова ціна на пшеницю, середньорічний приріст/зниження, %</w:t>
            </w:r>
          </w:p>
        </w:tc>
        <w:tc>
          <w:tcPr>
            <w:tcW w:w="2444" w:type="dxa"/>
            <w:vAlign w:val="center"/>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1,3 [±2]</w:t>
            </w:r>
          </w:p>
        </w:tc>
        <w:tc>
          <w:tcPr>
            <w:tcW w:w="2234" w:type="dxa"/>
            <w:vAlign w:val="center"/>
          </w:tcPr>
          <w:p w:rsidR="00B8517F" w:rsidRPr="00B8517F" w:rsidRDefault="00B8517F" w:rsidP="00FE1030">
            <w:pPr>
              <w:spacing w:after="0" w:line="240" w:lineRule="auto"/>
              <w:jc w:val="center"/>
              <w:rPr>
                <w:rFonts w:ascii="Times New Roman" w:hAnsi="Times New Roman" w:cs="Times New Roman"/>
              </w:rPr>
            </w:pPr>
            <w:r w:rsidRPr="00B8517F">
              <w:rPr>
                <w:rFonts w:ascii="Times New Roman" w:hAnsi="Times New Roman" w:cs="Times New Roman"/>
              </w:rPr>
              <w:t>"-"2,8 [±2]</w:t>
            </w:r>
          </w:p>
        </w:tc>
      </w:tr>
    </w:tbl>
    <w:p w:rsidR="00B8517F" w:rsidRPr="00B8517F" w:rsidRDefault="00B8517F" w:rsidP="00B8517F">
      <w:pPr>
        <w:spacing w:line="240" w:lineRule="auto"/>
        <w:ind w:right="947"/>
        <w:jc w:val="both"/>
        <w:rPr>
          <w:rFonts w:ascii="Times New Roman" w:eastAsia="Times New Roman" w:hAnsi="Times New Roman" w:cs="Times New Roman"/>
          <w:i/>
          <w:iCs/>
          <w:sz w:val="24"/>
          <w:lang w:eastAsia="uk-UA"/>
        </w:rPr>
      </w:pPr>
      <w:r w:rsidRPr="00B8517F">
        <w:rPr>
          <w:rFonts w:ascii="Times New Roman" w:eastAsia="Times New Roman" w:hAnsi="Times New Roman" w:cs="Times New Roman"/>
          <w:i/>
          <w:iCs/>
          <w:sz w:val="24"/>
          <w:lang w:eastAsia="uk-UA"/>
        </w:rPr>
        <w:t>Джерело: Міністерство економіки України.</w:t>
      </w:r>
    </w:p>
    <w:p w:rsidR="00B8517F" w:rsidRDefault="00B8517F" w:rsidP="00B8517F">
      <w:pPr>
        <w:spacing w:before="240" w:after="120" w:line="240" w:lineRule="auto"/>
        <w:ind w:firstLine="567"/>
        <w:rPr>
          <w:rFonts w:ascii="Times New Roman" w:eastAsia="Times New Roman" w:hAnsi="Times New Roman" w:cs="Times New Roman"/>
          <w:b/>
          <w:sz w:val="28"/>
          <w:szCs w:val="28"/>
          <w:lang w:eastAsia="ru-RU"/>
        </w:rPr>
      </w:pPr>
    </w:p>
    <w:p w:rsidR="00B8517F" w:rsidRPr="00F300EA" w:rsidRDefault="00B8517F" w:rsidP="00B8517F">
      <w:pPr>
        <w:spacing w:before="240" w:after="120" w:line="240" w:lineRule="auto"/>
        <w:ind w:firstLine="567"/>
        <w:rPr>
          <w:rFonts w:ascii="Times New Roman" w:eastAsia="Times New Roman" w:hAnsi="Times New Roman" w:cs="Times New Roman"/>
          <w:b/>
          <w:sz w:val="28"/>
          <w:szCs w:val="28"/>
          <w:lang w:eastAsia="ru-RU"/>
        </w:rPr>
      </w:pPr>
      <w:r w:rsidRPr="00F300EA">
        <w:rPr>
          <w:rFonts w:ascii="Times New Roman" w:eastAsia="Times New Roman" w:hAnsi="Times New Roman" w:cs="Times New Roman"/>
          <w:b/>
          <w:sz w:val="28"/>
          <w:szCs w:val="28"/>
          <w:lang w:eastAsia="ru-RU"/>
        </w:rPr>
        <w:t>Окрем</w:t>
      </w:r>
      <w:r>
        <w:rPr>
          <w:rFonts w:ascii="Times New Roman" w:eastAsia="Times New Roman" w:hAnsi="Times New Roman" w:cs="Times New Roman"/>
          <w:b/>
          <w:sz w:val="28"/>
          <w:szCs w:val="28"/>
          <w:lang w:eastAsia="ru-RU"/>
        </w:rPr>
        <w:t>і макроекономічні ризики (шоки)</w:t>
      </w:r>
    </w:p>
    <w:p w:rsidR="00B8517F" w:rsidRPr="00B8517F" w:rsidRDefault="00B8517F" w:rsidP="00B8517F">
      <w:pPr>
        <w:pStyle w:val="af1"/>
        <w:spacing w:after="120"/>
        <w:ind w:firstLine="567"/>
        <w:jc w:val="both"/>
        <w:rPr>
          <w:rFonts w:ascii="Times New Roman" w:hAnsi="Times New Roman" w:cs="Times New Roman"/>
          <w:b/>
          <w:sz w:val="24"/>
          <w:szCs w:val="24"/>
          <w:lang w:val="uk-UA"/>
        </w:rPr>
      </w:pPr>
      <w:r w:rsidRPr="00F300EA">
        <w:rPr>
          <w:rFonts w:ascii="Times New Roman" w:hAnsi="Times New Roman" w:cs="Times New Roman"/>
          <w:b/>
          <w:sz w:val="24"/>
          <w:szCs w:val="24"/>
          <w:lang w:val="uk-UA"/>
        </w:rPr>
        <w:t xml:space="preserve">Основні ризики макроекономічного середовища та </w:t>
      </w:r>
      <w:r w:rsidRPr="00B8517F">
        <w:rPr>
          <w:rFonts w:ascii="Times New Roman" w:hAnsi="Times New Roman" w:cs="Times New Roman"/>
          <w:b/>
          <w:sz w:val="24"/>
          <w:szCs w:val="24"/>
          <w:lang w:val="uk-UA"/>
        </w:rPr>
        <w:t>оцінка їх впливу на основні макроекономічні показники</w:t>
      </w:r>
    </w:p>
    <w:p w:rsidR="00B8517F" w:rsidRPr="00B8517F" w:rsidRDefault="00B8517F" w:rsidP="00B8517F">
      <w:pPr>
        <w:pStyle w:val="af1"/>
        <w:ind w:firstLine="567"/>
        <w:jc w:val="both"/>
        <w:rPr>
          <w:rFonts w:ascii="Times New Roman" w:hAnsi="Times New Roman" w:cs="Times New Roman"/>
          <w:sz w:val="24"/>
          <w:szCs w:val="24"/>
          <w:lang w:val="uk-UA"/>
        </w:rPr>
      </w:pPr>
      <w:r w:rsidRPr="00B8517F">
        <w:rPr>
          <w:rFonts w:ascii="Times New Roman" w:hAnsi="Times New Roman" w:cs="Times New Roman"/>
          <w:sz w:val="24"/>
          <w:szCs w:val="24"/>
          <w:lang w:val="uk-UA"/>
        </w:rPr>
        <w:t xml:space="preserve">Крім ризику поширення пандемії COVID-19, наслідки якого окреслено в альтернативному сценарії, також існує ряд інших ризиків та викликів, які супроводжують вітчизняну економіку впродовж тривалого періоду та можуть позначитися на відхиленні показників основного сценарію прогнозу. </w:t>
      </w:r>
    </w:p>
    <w:p w:rsidR="00B8517F" w:rsidRPr="00B8517F" w:rsidRDefault="00B8517F" w:rsidP="00B8517F">
      <w:pPr>
        <w:pStyle w:val="af1"/>
        <w:ind w:firstLine="567"/>
        <w:jc w:val="both"/>
        <w:rPr>
          <w:rFonts w:ascii="Times New Roman" w:hAnsi="Times New Roman" w:cs="Times New Roman"/>
          <w:sz w:val="24"/>
          <w:szCs w:val="24"/>
          <w:lang w:val="uk-UA"/>
        </w:rPr>
      </w:pPr>
      <w:r w:rsidRPr="00B8517F">
        <w:rPr>
          <w:rFonts w:ascii="Times New Roman" w:hAnsi="Times New Roman" w:cs="Times New Roman"/>
          <w:sz w:val="24"/>
          <w:szCs w:val="24"/>
          <w:lang w:val="uk-UA"/>
        </w:rPr>
        <w:t xml:space="preserve">Їх умовно можна поділити на дві групи за двома критеріями. </w:t>
      </w:r>
    </w:p>
    <w:p w:rsidR="00B8517F" w:rsidRPr="00B8517F" w:rsidRDefault="00B8517F" w:rsidP="00B8517F">
      <w:pPr>
        <w:pStyle w:val="af1"/>
        <w:ind w:firstLine="567"/>
        <w:jc w:val="both"/>
        <w:rPr>
          <w:rFonts w:ascii="Times New Roman" w:hAnsi="Times New Roman" w:cs="Times New Roman"/>
          <w:sz w:val="24"/>
          <w:szCs w:val="24"/>
          <w:lang w:val="uk-UA"/>
        </w:rPr>
      </w:pPr>
      <w:r w:rsidRPr="00B8517F">
        <w:rPr>
          <w:rFonts w:ascii="Times New Roman" w:hAnsi="Times New Roman" w:cs="Times New Roman"/>
          <w:sz w:val="24"/>
          <w:szCs w:val="24"/>
          <w:lang w:val="uk-UA"/>
        </w:rPr>
        <w:t>До першої групи відносяться ризики, які характерні виключно для України, є передбачуваними (вже мали місце у минулому або існує висока вірогідність їх настання в майбутньому) із зрозумілими наслідками. Ці ризики можуть спричинити «шок» для економіки у будь-який рік із середньострокової перспективи із різною вірогідністю та ступенем впливу на економіку.</w:t>
      </w:r>
    </w:p>
    <w:p w:rsidR="00B8517F" w:rsidRDefault="00B8517F" w:rsidP="00B8517F">
      <w:pPr>
        <w:pStyle w:val="af1"/>
        <w:ind w:firstLine="567"/>
        <w:jc w:val="both"/>
        <w:rPr>
          <w:rFonts w:ascii="Times New Roman" w:hAnsi="Times New Roman" w:cs="Times New Roman"/>
          <w:sz w:val="24"/>
          <w:szCs w:val="24"/>
          <w:lang w:val="uk-UA"/>
        </w:rPr>
      </w:pPr>
      <w:r w:rsidRPr="00EE1033">
        <w:rPr>
          <w:rFonts w:ascii="Times New Roman" w:hAnsi="Times New Roman" w:cs="Times New Roman"/>
          <w:sz w:val="24"/>
          <w:szCs w:val="24"/>
          <w:lang w:val="uk-UA"/>
        </w:rPr>
        <w:t>Серед ризиків, що відносяться до першої групи</w:t>
      </w:r>
      <w:r>
        <w:rPr>
          <w:rFonts w:ascii="Times New Roman" w:hAnsi="Times New Roman" w:cs="Times New Roman"/>
          <w:sz w:val="24"/>
          <w:szCs w:val="24"/>
          <w:lang w:val="uk-UA"/>
        </w:rPr>
        <w:t>,</w:t>
      </w:r>
      <w:r w:rsidRPr="00EE1033">
        <w:rPr>
          <w:rFonts w:ascii="Times New Roman" w:hAnsi="Times New Roman" w:cs="Times New Roman"/>
          <w:sz w:val="24"/>
          <w:szCs w:val="24"/>
          <w:lang w:val="uk-UA"/>
        </w:rPr>
        <w:t xml:space="preserve"> слід віднести: посилення гібридних загроз національній безпеці України, у т</w:t>
      </w:r>
      <w:r>
        <w:rPr>
          <w:rFonts w:ascii="Times New Roman" w:hAnsi="Times New Roman" w:cs="Times New Roman"/>
          <w:sz w:val="24"/>
          <w:szCs w:val="24"/>
          <w:lang w:val="uk-UA"/>
        </w:rPr>
        <w:t xml:space="preserve">ому числі </w:t>
      </w:r>
      <w:r w:rsidRPr="00EE1033">
        <w:rPr>
          <w:rFonts w:ascii="Times New Roman" w:hAnsi="Times New Roman" w:cs="Times New Roman"/>
          <w:sz w:val="24"/>
          <w:szCs w:val="24"/>
          <w:lang w:val="uk-UA"/>
        </w:rPr>
        <w:t xml:space="preserve">активну збройну агресію з боку Російської Федерації на сході країни, вихід нерезидентів із ОВДП, згортання іноземними компаніями інвестиційних планів, збереження низької кредитної активності комерційних банків у реальному секторі, посилення неплатоспроможності суб’єктів економічної діяльності, отримання низького врожаю зернових культур. </w:t>
      </w:r>
    </w:p>
    <w:p w:rsidR="00B8517F" w:rsidRDefault="00B8517F" w:rsidP="00B8517F">
      <w:pPr>
        <w:pStyle w:val="af1"/>
        <w:ind w:firstLine="567"/>
        <w:jc w:val="both"/>
        <w:rPr>
          <w:rFonts w:ascii="Times New Roman" w:hAnsi="Times New Roman" w:cs="Times New Roman"/>
          <w:sz w:val="24"/>
          <w:szCs w:val="24"/>
          <w:lang w:val="uk-UA"/>
        </w:rPr>
      </w:pPr>
      <w:r w:rsidRPr="00EE1033">
        <w:rPr>
          <w:rFonts w:ascii="Times New Roman" w:hAnsi="Times New Roman" w:cs="Times New Roman"/>
          <w:sz w:val="24"/>
          <w:szCs w:val="24"/>
          <w:lang w:val="uk-UA"/>
        </w:rPr>
        <w:t>З іншого боку</w:t>
      </w:r>
      <w:r>
        <w:rPr>
          <w:rFonts w:ascii="Times New Roman" w:hAnsi="Times New Roman" w:cs="Times New Roman"/>
          <w:sz w:val="24"/>
          <w:szCs w:val="24"/>
          <w:lang w:val="uk-UA"/>
        </w:rPr>
        <w:t>,</w:t>
      </w:r>
      <w:r w:rsidRPr="00EE1033">
        <w:rPr>
          <w:rFonts w:ascii="Times New Roman" w:hAnsi="Times New Roman" w:cs="Times New Roman"/>
          <w:sz w:val="24"/>
          <w:szCs w:val="24"/>
          <w:lang w:val="uk-UA"/>
        </w:rPr>
        <w:t xml:space="preserve"> </w:t>
      </w:r>
      <w:r>
        <w:rPr>
          <w:rFonts w:ascii="Times New Roman" w:hAnsi="Times New Roman" w:cs="Times New Roman"/>
          <w:sz w:val="24"/>
          <w:szCs w:val="24"/>
          <w:lang w:val="uk-UA"/>
        </w:rPr>
        <w:t>існують</w:t>
      </w:r>
      <w:r w:rsidRPr="00EE1033">
        <w:rPr>
          <w:rFonts w:ascii="Times New Roman" w:hAnsi="Times New Roman" w:cs="Times New Roman"/>
          <w:sz w:val="24"/>
          <w:szCs w:val="24"/>
          <w:lang w:val="uk-UA"/>
        </w:rPr>
        <w:t xml:space="preserve"> менш передбачувані ризики динамічного характеру (наразі чітко не ідентифікуються і можуть змінювати джерела формування ризиків, механізми їх поширення та наслідки впливу), які наразі формуються як нові глобальні тренди, більшість з яких матим</w:t>
      </w:r>
      <w:r>
        <w:rPr>
          <w:rFonts w:ascii="Times New Roman" w:hAnsi="Times New Roman" w:cs="Times New Roman"/>
          <w:sz w:val="24"/>
          <w:szCs w:val="24"/>
          <w:lang w:val="uk-UA"/>
        </w:rPr>
        <w:t>уть</w:t>
      </w:r>
      <w:r w:rsidRPr="00EE1033">
        <w:rPr>
          <w:rFonts w:ascii="Times New Roman" w:hAnsi="Times New Roman" w:cs="Times New Roman"/>
          <w:sz w:val="24"/>
          <w:szCs w:val="24"/>
          <w:lang w:val="uk-UA"/>
        </w:rPr>
        <w:t xml:space="preserve"> довгостроковий характер для світової економічної системи, у т</w:t>
      </w:r>
      <w:r>
        <w:rPr>
          <w:rFonts w:ascii="Times New Roman" w:hAnsi="Times New Roman" w:cs="Times New Roman"/>
          <w:sz w:val="24"/>
          <w:szCs w:val="24"/>
          <w:lang w:val="uk-UA"/>
        </w:rPr>
        <w:t xml:space="preserve">ому числі </w:t>
      </w:r>
      <w:r w:rsidRPr="00EE1033">
        <w:rPr>
          <w:rFonts w:ascii="Times New Roman" w:hAnsi="Times New Roman" w:cs="Times New Roman"/>
          <w:sz w:val="24"/>
          <w:szCs w:val="24"/>
          <w:lang w:val="uk-UA"/>
        </w:rPr>
        <w:t xml:space="preserve">і для України. </w:t>
      </w:r>
    </w:p>
    <w:p w:rsidR="00B8517F" w:rsidRPr="00B8517F" w:rsidRDefault="00B8517F" w:rsidP="00B8517F">
      <w:pPr>
        <w:pStyle w:val="af1"/>
        <w:ind w:firstLine="567"/>
        <w:jc w:val="both"/>
        <w:rPr>
          <w:rFonts w:ascii="Times New Roman" w:hAnsi="Times New Roman" w:cs="Times New Roman"/>
          <w:sz w:val="24"/>
          <w:szCs w:val="24"/>
          <w:lang w:val="uk-UA"/>
        </w:rPr>
      </w:pPr>
      <w:r w:rsidRPr="00EE1033">
        <w:rPr>
          <w:rFonts w:ascii="Times New Roman" w:hAnsi="Times New Roman" w:cs="Times New Roman"/>
          <w:sz w:val="24"/>
          <w:szCs w:val="24"/>
          <w:lang w:val="uk-UA"/>
        </w:rPr>
        <w:t xml:space="preserve">Серед ризиків, що відносяться до другої групи, слід виділити посилення глобальної конкуренції, нова хвиля технологічних змін, загострення конкуренції у світі за людський капітал, </w:t>
      </w:r>
      <w:r w:rsidRPr="00B8517F">
        <w:rPr>
          <w:rFonts w:ascii="Times New Roman" w:hAnsi="Times New Roman" w:cs="Times New Roman"/>
          <w:sz w:val="24"/>
          <w:szCs w:val="24"/>
          <w:lang w:val="uk-UA"/>
        </w:rPr>
        <w:t>наростання екологічної кризи.</w:t>
      </w:r>
    </w:p>
    <w:p w:rsidR="00B8517F" w:rsidRPr="00B8517F" w:rsidRDefault="00B8517F" w:rsidP="00B8517F">
      <w:pPr>
        <w:pStyle w:val="af1"/>
        <w:spacing w:after="120"/>
        <w:ind w:right="-1"/>
        <w:jc w:val="center"/>
        <w:rPr>
          <w:rFonts w:ascii="Times New Roman" w:hAnsi="Times New Roman" w:cs="Times New Roman"/>
          <w:b/>
          <w:sz w:val="24"/>
          <w:szCs w:val="24"/>
          <w:lang w:val="uk-UA"/>
        </w:rPr>
      </w:pPr>
      <w:r w:rsidRPr="00B8517F">
        <w:rPr>
          <w:rFonts w:ascii="Times New Roman" w:hAnsi="Times New Roman" w:cs="Times New Roman"/>
          <w:b/>
          <w:sz w:val="24"/>
          <w:szCs w:val="24"/>
          <w:lang w:val="uk-UA"/>
        </w:rPr>
        <w:t>Матриця оцінки ризиків</w:t>
      </w:r>
    </w:p>
    <w:tbl>
      <w:tblPr>
        <w:tblStyle w:val="a3"/>
        <w:tblW w:w="9918" w:type="dxa"/>
        <w:jc w:val="center"/>
        <w:tblLayout w:type="fixed"/>
        <w:tblLook w:val="04A0" w:firstRow="1" w:lastRow="0" w:firstColumn="1" w:lastColumn="0" w:noHBand="0" w:noVBand="1"/>
      </w:tblPr>
      <w:tblGrid>
        <w:gridCol w:w="421"/>
        <w:gridCol w:w="3118"/>
        <w:gridCol w:w="3969"/>
        <w:gridCol w:w="2410"/>
      </w:tblGrid>
      <w:tr w:rsidR="00B8517F" w:rsidRPr="00B8517F" w:rsidTr="00FE1030">
        <w:trPr>
          <w:trHeight w:val="716"/>
          <w:tblHeader/>
          <w:jc w:val="center"/>
        </w:trPr>
        <w:tc>
          <w:tcPr>
            <w:tcW w:w="421" w:type="dxa"/>
          </w:tcPr>
          <w:p w:rsidR="00B8517F" w:rsidRPr="00B8517F" w:rsidRDefault="00B8517F" w:rsidP="00FE1030">
            <w:pPr>
              <w:pStyle w:val="af1"/>
              <w:ind w:right="-95"/>
              <w:jc w:val="center"/>
              <w:rPr>
                <w:rFonts w:ascii="Times New Roman" w:hAnsi="Times New Roman" w:cs="Times New Roman"/>
                <w:b/>
                <w:szCs w:val="24"/>
                <w:lang w:val="uk-UA"/>
              </w:rPr>
            </w:pPr>
            <w:r w:rsidRPr="00B8517F">
              <w:rPr>
                <w:rFonts w:ascii="Times New Roman" w:hAnsi="Times New Roman" w:cs="Times New Roman"/>
                <w:b/>
                <w:szCs w:val="24"/>
                <w:lang w:val="uk-UA"/>
              </w:rPr>
              <w:t>№</w:t>
            </w:r>
          </w:p>
          <w:p w:rsidR="00B8517F" w:rsidRPr="00B8517F" w:rsidRDefault="00B8517F" w:rsidP="00FE1030">
            <w:pPr>
              <w:pStyle w:val="af1"/>
              <w:ind w:right="-95"/>
              <w:jc w:val="center"/>
              <w:rPr>
                <w:rFonts w:ascii="Times New Roman" w:hAnsi="Times New Roman" w:cs="Times New Roman"/>
                <w:b/>
                <w:szCs w:val="24"/>
                <w:lang w:val="uk-UA"/>
              </w:rPr>
            </w:pPr>
            <w:r w:rsidRPr="00B8517F">
              <w:rPr>
                <w:rFonts w:ascii="Times New Roman" w:hAnsi="Times New Roman" w:cs="Times New Roman"/>
                <w:b/>
                <w:szCs w:val="24"/>
                <w:lang w:val="uk-UA"/>
              </w:rPr>
              <w:t>з/п</w:t>
            </w:r>
          </w:p>
        </w:tc>
        <w:tc>
          <w:tcPr>
            <w:tcW w:w="3118" w:type="dxa"/>
          </w:tcPr>
          <w:p w:rsidR="00B8517F" w:rsidRPr="00B8517F" w:rsidRDefault="00B8517F" w:rsidP="00FE1030">
            <w:pPr>
              <w:pStyle w:val="af1"/>
              <w:ind w:right="-95"/>
              <w:jc w:val="center"/>
              <w:rPr>
                <w:rFonts w:ascii="Times New Roman" w:hAnsi="Times New Roman" w:cs="Times New Roman"/>
                <w:b/>
                <w:szCs w:val="24"/>
                <w:lang w:val="uk-UA"/>
              </w:rPr>
            </w:pPr>
            <w:r w:rsidRPr="00B8517F">
              <w:rPr>
                <w:rFonts w:ascii="Times New Roman" w:hAnsi="Times New Roman" w:cs="Times New Roman"/>
                <w:b/>
                <w:szCs w:val="24"/>
                <w:lang w:val="uk-UA"/>
              </w:rPr>
              <w:t>Ризик / Явище</w:t>
            </w:r>
          </w:p>
        </w:tc>
        <w:tc>
          <w:tcPr>
            <w:tcW w:w="3969" w:type="dxa"/>
          </w:tcPr>
          <w:p w:rsidR="00B8517F" w:rsidRPr="00B8517F" w:rsidRDefault="00B8517F" w:rsidP="00FE1030">
            <w:pPr>
              <w:pStyle w:val="af1"/>
              <w:ind w:right="-86"/>
              <w:jc w:val="center"/>
              <w:rPr>
                <w:rFonts w:ascii="Times New Roman" w:hAnsi="Times New Roman" w:cs="Times New Roman"/>
                <w:b/>
                <w:szCs w:val="24"/>
                <w:lang w:val="uk-UA"/>
              </w:rPr>
            </w:pPr>
            <w:r w:rsidRPr="00B8517F">
              <w:rPr>
                <w:rFonts w:ascii="Times New Roman" w:hAnsi="Times New Roman" w:cs="Times New Roman"/>
                <w:b/>
                <w:szCs w:val="24"/>
                <w:lang w:val="uk-UA"/>
              </w:rPr>
              <w:t>Оцінка впливу у разі реалізація ризику / явища і економічні наслідки</w:t>
            </w:r>
          </w:p>
        </w:tc>
        <w:tc>
          <w:tcPr>
            <w:tcW w:w="2410" w:type="dxa"/>
          </w:tcPr>
          <w:p w:rsidR="00B8517F" w:rsidRPr="00B8517F" w:rsidRDefault="00B8517F" w:rsidP="00FE1030">
            <w:pPr>
              <w:pStyle w:val="af1"/>
              <w:ind w:right="-86"/>
              <w:jc w:val="center"/>
              <w:rPr>
                <w:rFonts w:ascii="Times New Roman" w:hAnsi="Times New Roman" w:cs="Times New Roman"/>
                <w:b/>
                <w:szCs w:val="24"/>
                <w:lang w:val="uk-UA"/>
              </w:rPr>
            </w:pPr>
            <w:r w:rsidRPr="00B8517F">
              <w:rPr>
                <w:rFonts w:ascii="Times New Roman" w:hAnsi="Times New Roman" w:cs="Times New Roman"/>
                <w:b/>
                <w:szCs w:val="24"/>
                <w:lang w:val="uk-UA"/>
              </w:rPr>
              <w:t>Шок припущення / Результати оцінки*</w:t>
            </w:r>
          </w:p>
        </w:tc>
      </w:tr>
      <w:tr w:rsidR="00B8517F" w:rsidRPr="00B8517F" w:rsidTr="00FE1030">
        <w:trPr>
          <w:trHeight w:val="1251"/>
          <w:jc w:val="center"/>
        </w:trPr>
        <w:tc>
          <w:tcPr>
            <w:tcW w:w="421" w:type="dxa"/>
          </w:tcPr>
          <w:p w:rsidR="00B8517F" w:rsidRPr="00B8517F" w:rsidRDefault="00B8517F" w:rsidP="00FE1030">
            <w:pPr>
              <w:pStyle w:val="af1"/>
              <w:ind w:right="947"/>
              <w:jc w:val="both"/>
              <w:rPr>
                <w:rFonts w:ascii="Times New Roman" w:hAnsi="Times New Roman" w:cs="Times New Roman"/>
                <w:szCs w:val="24"/>
                <w:lang w:val="uk-UA"/>
              </w:rPr>
            </w:pPr>
            <w:r w:rsidRPr="00B8517F">
              <w:rPr>
                <w:rFonts w:ascii="Times New Roman" w:hAnsi="Times New Roman" w:cs="Times New Roman"/>
                <w:szCs w:val="24"/>
                <w:lang w:val="uk-UA"/>
              </w:rPr>
              <w:t>1</w:t>
            </w:r>
          </w:p>
        </w:tc>
        <w:tc>
          <w:tcPr>
            <w:tcW w:w="3118" w:type="dxa"/>
          </w:tcPr>
          <w:p w:rsidR="00B8517F" w:rsidRPr="00B8517F" w:rsidRDefault="00B8517F" w:rsidP="00FE1030">
            <w:pPr>
              <w:pStyle w:val="af1"/>
              <w:ind w:right="-86"/>
              <w:jc w:val="both"/>
              <w:rPr>
                <w:rFonts w:ascii="Times New Roman" w:hAnsi="Times New Roman" w:cs="Times New Roman"/>
                <w:szCs w:val="24"/>
                <w:lang w:val="uk-UA"/>
              </w:rPr>
            </w:pPr>
            <w:r w:rsidRPr="00B8517F">
              <w:rPr>
                <w:rFonts w:ascii="Times New Roman" w:hAnsi="Times New Roman" w:cs="Times New Roman"/>
                <w:szCs w:val="24"/>
                <w:lang w:val="uk-UA"/>
              </w:rPr>
              <w:t>Посилення гібридних загроз національній безпеці України, у тому числі активна збройна агресія з боку Російської Федерації на сході країни</w:t>
            </w:r>
          </w:p>
        </w:tc>
        <w:tc>
          <w:tcPr>
            <w:tcW w:w="3969" w:type="dxa"/>
          </w:tcPr>
          <w:p w:rsidR="00B8517F" w:rsidRPr="00B8517F" w:rsidRDefault="00B8517F" w:rsidP="00FE1030">
            <w:pPr>
              <w:pStyle w:val="af1"/>
              <w:ind w:right="-86"/>
              <w:jc w:val="both"/>
              <w:rPr>
                <w:rFonts w:ascii="Times New Roman" w:hAnsi="Times New Roman" w:cs="Times New Roman"/>
                <w:b/>
                <w:szCs w:val="24"/>
                <w:lang w:val="uk-UA"/>
              </w:rPr>
            </w:pPr>
            <w:r w:rsidRPr="00B8517F">
              <w:rPr>
                <w:rFonts w:ascii="Times New Roman" w:hAnsi="Times New Roman" w:cs="Times New Roman"/>
                <w:b/>
                <w:szCs w:val="24"/>
                <w:lang w:val="uk-UA"/>
              </w:rPr>
              <w:t>Помірний.</w:t>
            </w:r>
          </w:p>
          <w:p w:rsidR="00B8517F" w:rsidRPr="00B8517F" w:rsidRDefault="00B8517F" w:rsidP="00FE1030">
            <w:pPr>
              <w:pStyle w:val="af1"/>
              <w:ind w:right="-86"/>
              <w:jc w:val="both"/>
              <w:rPr>
                <w:rFonts w:ascii="Times New Roman" w:hAnsi="Times New Roman" w:cs="Times New Roman"/>
                <w:szCs w:val="24"/>
                <w:lang w:val="uk-UA"/>
              </w:rPr>
            </w:pPr>
            <w:r w:rsidRPr="00B8517F">
              <w:rPr>
                <w:rFonts w:ascii="Times New Roman" w:hAnsi="Times New Roman" w:cs="Times New Roman"/>
                <w:szCs w:val="24"/>
                <w:lang w:val="uk-UA"/>
              </w:rPr>
              <w:t>Суттєве зменшення обсягу зовнішньої торгівлі, збільшення витрат на логістику промисловими (зокрема, металургійного виробництва) та агропідприємствами, зниження рівня інвестиційної привабливості країни.</w:t>
            </w:r>
          </w:p>
        </w:tc>
        <w:tc>
          <w:tcPr>
            <w:tcW w:w="2410" w:type="dxa"/>
          </w:tcPr>
          <w:p w:rsidR="00B8517F" w:rsidRPr="00B8517F" w:rsidRDefault="00B8517F" w:rsidP="00FE1030">
            <w:pPr>
              <w:pStyle w:val="af1"/>
              <w:ind w:right="-86"/>
              <w:jc w:val="both"/>
              <w:rPr>
                <w:rFonts w:ascii="Times New Roman" w:hAnsi="Times New Roman" w:cs="Times New Roman"/>
                <w:szCs w:val="24"/>
                <w:lang w:val="uk-UA"/>
              </w:rPr>
            </w:pPr>
            <w:r w:rsidRPr="00B8517F">
              <w:rPr>
                <w:rFonts w:ascii="Times New Roman" w:hAnsi="Times New Roman" w:cs="Times New Roman"/>
                <w:szCs w:val="24"/>
                <w:lang w:val="uk-UA"/>
              </w:rPr>
              <w:t xml:space="preserve">Зменшення обсягу зовнішньої торгівлі з РФ на 15 відсотків або 300 млн доларів США. </w:t>
            </w:r>
            <w:r w:rsidRPr="00B8517F">
              <w:rPr>
                <w:rFonts w:ascii="Times New Roman" w:hAnsi="Times New Roman" w:cs="Times New Roman"/>
                <w:b/>
                <w:szCs w:val="24"/>
                <w:lang w:val="uk-UA"/>
              </w:rPr>
              <w:t>ВВП – втрата 0,2 в. п.</w:t>
            </w:r>
          </w:p>
        </w:tc>
      </w:tr>
      <w:tr w:rsidR="00B8517F" w:rsidRPr="00B8517F" w:rsidTr="00FE1030">
        <w:trPr>
          <w:jc w:val="center"/>
        </w:trPr>
        <w:tc>
          <w:tcPr>
            <w:tcW w:w="421" w:type="dxa"/>
          </w:tcPr>
          <w:p w:rsidR="00B8517F" w:rsidRPr="00B8517F" w:rsidRDefault="00B8517F" w:rsidP="00FE1030">
            <w:pPr>
              <w:pStyle w:val="af1"/>
              <w:ind w:right="-86"/>
              <w:jc w:val="both"/>
              <w:rPr>
                <w:rFonts w:ascii="Times New Roman" w:hAnsi="Times New Roman" w:cs="Times New Roman"/>
                <w:szCs w:val="24"/>
                <w:lang w:val="uk-UA"/>
              </w:rPr>
            </w:pPr>
            <w:r w:rsidRPr="00B8517F">
              <w:rPr>
                <w:rFonts w:ascii="Times New Roman" w:hAnsi="Times New Roman" w:cs="Times New Roman"/>
                <w:szCs w:val="24"/>
                <w:lang w:val="uk-UA"/>
              </w:rPr>
              <w:t>2</w:t>
            </w:r>
          </w:p>
        </w:tc>
        <w:tc>
          <w:tcPr>
            <w:tcW w:w="3118" w:type="dxa"/>
          </w:tcPr>
          <w:p w:rsidR="00B8517F" w:rsidRPr="00B8517F" w:rsidRDefault="00B8517F" w:rsidP="00FE1030">
            <w:pPr>
              <w:pStyle w:val="af1"/>
              <w:ind w:right="-86"/>
              <w:jc w:val="both"/>
              <w:rPr>
                <w:rFonts w:ascii="Times New Roman" w:hAnsi="Times New Roman" w:cs="Times New Roman"/>
                <w:szCs w:val="24"/>
                <w:lang w:val="uk-UA"/>
              </w:rPr>
            </w:pPr>
            <w:r w:rsidRPr="00B8517F">
              <w:rPr>
                <w:rFonts w:ascii="Times New Roman" w:hAnsi="Times New Roman" w:cs="Times New Roman"/>
                <w:szCs w:val="24"/>
                <w:lang w:val="uk-UA"/>
              </w:rPr>
              <w:t>Вихід нерезидентів із ОВДП</w:t>
            </w:r>
          </w:p>
        </w:tc>
        <w:tc>
          <w:tcPr>
            <w:tcW w:w="3969" w:type="dxa"/>
          </w:tcPr>
          <w:p w:rsidR="00B8517F" w:rsidRPr="00B8517F" w:rsidRDefault="00B8517F" w:rsidP="00FE1030">
            <w:pPr>
              <w:jc w:val="both"/>
              <w:rPr>
                <w:rFonts w:ascii="Times New Roman" w:hAnsi="Times New Roman" w:cs="Times New Roman"/>
                <w:b/>
                <w:szCs w:val="24"/>
              </w:rPr>
            </w:pPr>
            <w:r w:rsidRPr="00B8517F">
              <w:rPr>
                <w:rFonts w:ascii="Times New Roman" w:hAnsi="Times New Roman" w:cs="Times New Roman"/>
                <w:b/>
                <w:szCs w:val="24"/>
              </w:rPr>
              <w:t>Помірний.</w:t>
            </w:r>
          </w:p>
          <w:p w:rsidR="00B8517F" w:rsidRPr="00B8517F" w:rsidRDefault="00B8517F" w:rsidP="00FE1030">
            <w:pPr>
              <w:jc w:val="both"/>
              <w:rPr>
                <w:rFonts w:ascii="Times New Roman" w:hAnsi="Times New Roman" w:cs="Times New Roman"/>
                <w:b/>
                <w:szCs w:val="24"/>
              </w:rPr>
            </w:pPr>
            <w:r w:rsidRPr="00B8517F">
              <w:rPr>
                <w:rFonts w:ascii="Times New Roman" w:hAnsi="Times New Roman" w:cs="Times New Roman"/>
                <w:szCs w:val="24"/>
              </w:rPr>
              <w:t>Тиск на валютний ринок у бік девальвації гривні та формування негативних очікувань щодо інвестиційних процесів в цілому.</w:t>
            </w:r>
          </w:p>
        </w:tc>
        <w:tc>
          <w:tcPr>
            <w:tcW w:w="2410" w:type="dxa"/>
          </w:tcPr>
          <w:p w:rsidR="00B8517F" w:rsidRPr="00B8517F" w:rsidRDefault="00B8517F" w:rsidP="00FE1030">
            <w:pPr>
              <w:jc w:val="both"/>
              <w:rPr>
                <w:rFonts w:ascii="Times New Roman" w:hAnsi="Times New Roman" w:cs="Times New Roman"/>
                <w:b/>
                <w:szCs w:val="24"/>
              </w:rPr>
            </w:pPr>
            <w:r w:rsidRPr="00B8517F">
              <w:rPr>
                <w:rFonts w:ascii="Times New Roman" w:hAnsi="Times New Roman" w:cs="Times New Roman"/>
                <w:szCs w:val="24"/>
              </w:rPr>
              <w:t xml:space="preserve">Підвищення рівня дохідності ОВДП у середньому на 3 в. п. </w:t>
            </w:r>
            <w:r w:rsidRPr="00B8517F">
              <w:rPr>
                <w:rFonts w:ascii="Times New Roman" w:hAnsi="Times New Roman" w:cs="Times New Roman"/>
                <w:b/>
                <w:szCs w:val="24"/>
              </w:rPr>
              <w:t>ВВП – втрата 0,1 в. п.</w:t>
            </w:r>
          </w:p>
        </w:tc>
      </w:tr>
      <w:tr w:rsidR="00B8517F" w:rsidRPr="00B8517F" w:rsidTr="00FE1030">
        <w:trPr>
          <w:jc w:val="center"/>
        </w:trPr>
        <w:tc>
          <w:tcPr>
            <w:tcW w:w="421" w:type="dxa"/>
          </w:tcPr>
          <w:p w:rsidR="00B8517F" w:rsidRPr="00B8517F" w:rsidRDefault="00B8517F" w:rsidP="00FE1030">
            <w:pPr>
              <w:pStyle w:val="af1"/>
              <w:ind w:right="947"/>
              <w:jc w:val="both"/>
              <w:rPr>
                <w:rFonts w:ascii="Times New Roman" w:hAnsi="Times New Roman" w:cs="Times New Roman"/>
                <w:szCs w:val="24"/>
                <w:lang w:val="uk-UA"/>
              </w:rPr>
            </w:pPr>
            <w:r w:rsidRPr="00B8517F">
              <w:rPr>
                <w:rFonts w:ascii="Times New Roman" w:hAnsi="Times New Roman" w:cs="Times New Roman"/>
                <w:szCs w:val="24"/>
                <w:lang w:val="uk-UA"/>
              </w:rPr>
              <w:t>3</w:t>
            </w:r>
          </w:p>
        </w:tc>
        <w:tc>
          <w:tcPr>
            <w:tcW w:w="3118" w:type="dxa"/>
          </w:tcPr>
          <w:p w:rsidR="00B8517F" w:rsidRPr="00B8517F" w:rsidRDefault="00B8517F" w:rsidP="00FE1030">
            <w:pPr>
              <w:pStyle w:val="af1"/>
              <w:ind w:right="-86"/>
              <w:jc w:val="both"/>
              <w:rPr>
                <w:rFonts w:ascii="Times New Roman" w:hAnsi="Times New Roman" w:cs="Times New Roman"/>
                <w:szCs w:val="24"/>
                <w:lang w:val="uk-UA"/>
              </w:rPr>
            </w:pPr>
            <w:r w:rsidRPr="00B8517F">
              <w:rPr>
                <w:rFonts w:ascii="Times New Roman" w:hAnsi="Times New Roman" w:cs="Times New Roman"/>
                <w:szCs w:val="24"/>
                <w:lang w:val="uk-UA"/>
              </w:rPr>
              <w:t xml:space="preserve">Згортання іноземними компаніями інвестиційних планів </w:t>
            </w:r>
          </w:p>
        </w:tc>
        <w:tc>
          <w:tcPr>
            <w:tcW w:w="3969" w:type="dxa"/>
          </w:tcPr>
          <w:p w:rsidR="00B8517F" w:rsidRPr="00B8517F" w:rsidRDefault="00B8517F" w:rsidP="00FE1030">
            <w:pPr>
              <w:jc w:val="both"/>
              <w:rPr>
                <w:rFonts w:ascii="Times New Roman" w:hAnsi="Times New Roman" w:cs="Times New Roman"/>
                <w:b/>
                <w:szCs w:val="24"/>
              </w:rPr>
            </w:pPr>
            <w:r w:rsidRPr="00B8517F">
              <w:rPr>
                <w:rFonts w:ascii="Times New Roman" w:hAnsi="Times New Roman" w:cs="Times New Roman"/>
                <w:b/>
                <w:szCs w:val="24"/>
              </w:rPr>
              <w:t>Помірний.</w:t>
            </w:r>
          </w:p>
          <w:p w:rsidR="00B8517F" w:rsidRPr="00B8517F" w:rsidRDefault="00B8517F" w:rsidP="00FE1030">
            <w:pPr>
              <w:jc w:val="both"/>
              <w:rPr>
                <w:rFonts w:ascii="Times New Roman" w:hAnsi="Times New Roman" w:cs="Times New Roman"/>
                <w:b/>
                <w:spacing w:val="-6"/>
                <w:szCs w:val="24"/>
              </w:rPr>
            </w:pPr>
            <w:r w:rsidRPr="00B8517F">
              <w:rPr>
                <w:rFonts w:ascii="Times New Roman" w:hAnsi="Times New Roman" w:cs="Times New Roman"/>
                <w:szCs w:val="24"/>
              </w:rPr>
              <w:t xml:space="preserve">Вимушене згортання </w:t>
            </w:r>
            <w:proofErr w:type="spellStart"/>
            <w:r w:rsidRPr="00B8517F">
              <w:rPr>
                <w:rFonts w:ascii="Times New Roman" w:hAnsi="Times New Roman" w:cs="Times New Roman"/>
                <w:szCs w:val="24"/>
              </w:rPr>
              <w:t>модернізаційних</w:t>
            </w:r>
            <w:proofErr w:type="spellEnd"/>
            <w:r w:rsidRPr="00B8517F">
              <w:rPr>
                <w:rFonts w:ascii="Times New Roman" w:hAnsi="Times New Roman" w:cs="Times New Roman"/>
                <w:szCs w:val="24"/>
              </w:rPr>
              <w:t xml:space="preserve"> процесів, зниження ділової активності суб’єктів господарювання, інвестиційної привабливості економіки, що стримуватиме структурну перебудову та якісне економічне оновлення, збільшуватиме безробіття внаслідок уповільнення процесів створення нових робочих місць.</w:t>
            </w:r>
          </w:p>
        </w:tc>
        <w:tc>
          <w:tcPr>
            <w:tcW w:w="2410" w:type="dxa"/>
          </w:tcPr>
          <w:p w:rsidR="00B8517F" w:rsidRPr="00B8517F" w:rsidRDefault="00B8517F" w:rsidP="00FE1030">
            <w:pPr>
              <w:jc w:val="both"/>
              <w:rPr>
                <w:rFonts w:ascii="Times New Roman" w:hAnsi="Times New Roman" w:cs="Times New Roman"/>
                <w:b/>
                <w:spacing w:val="-6"/>
                <w:szCs w:val="24"/>
              </w:rPr>
            </w:pPr>
            <w:r w:rsidRPr="00B8517F">
              <w:rPr>
                <w:rFonts w:ascii="Times New Roman" w:hAnsi="Times New Roman" w:cs="Times New Roman"/>
                <w:szCs w:val="24"/>
              </w:rPr>
              <w:t xml:space="preserve">Зменшення ВНОК на 1 млрд доларів США. </w:t>
            </w:r>
            <w:r w:rsidRPr="00B8517F">
              <w:rPr>
                <w:rFonts w:ascii="Times New Roman" w:hAnsi="Times New Roman" w:cs="Times New Roman"/>
                <w:b/>
                <w:szCs w:val="24"/>
              </w:rPr>
              <w:t>ВВП – втрата 0,7 в. п.</w:t>
            </w:r>
          </w:p>
        </w:tc>
      </w:tr>
      <w:tr w:rsidR="00B8517F" w:rsidRPr="00B8517F" w:rsidTr="00FE1030">
        <w:trPr>
          <w:jc w:val="center"/>
        </w:trPr>
        <w:tc>
          <w:tcPr>
            <w:tcW w:w="421" w:type="dxa"/>
          </w:tcPr>
          <w:p w:rsidR="00B8517F" w:rsidRPr="00B8517F" w:rsidRDefault="00B8517F" w:rsidP="00FE1030">
            <w:pPr>
              <w:pStyle w:val="af1"/>
              <w:ind w:right="947"/>
              <w:jc w:val="both"/>
              <w:rPr>
                <w:rFonts w:ascii="Times New Roman" w:hAnsi="Times New Roman" w:cs="Times New Roman"/>
                <w:szCs w:val="24"/>
                <w:lang w:val="uk-UA"/>
              </w:rPr>
            </w:pPr>
            <w:r w:rsidRPr="00B8517F">
              <w:rPr>
                <w:rFonts w:ascii="Times New Roman" w:hAnsi="Times New Roman" w:cs="Times New Roman"/>
                <w:szCs w:val="24"/>
                <w:lang w:val="uk-UA"/>
              </w:rPr>
              <w:t>4</w:t>
            </w:r>
          </w:p>
        </w:tc>
        <w:tc>
          <w:tcPr>
            <w:tcW w:w="3118" w:type="dxa"/>
          </w:tcPr>
          <w:p w:rsidR="00B8517F" w:rsidRPr="00B8517F" w:rsidRDefault="00B8517F" w:rsidP="00FE1030">
            <w:pPr>
              <w:pStyle w:val="af1"/>
              <w:ind w:right="-86"/>
              <w:jc w:val="both"/>
              <w:rPr>
                <w:rFonts w:ascii="Times New Roman" w:hAnsi="Times New Roman" w:cs="Times New Roman"/>
                <w:szCs w:val="24"/>
                <w:lang w:val="uk-UA"/>
              </w:rPr>
            </w:pPr>
            <w:r w:rsidRPr="00B8517F">
              <w:rPr>
                <w:rFonts w:ascii="Times New Roman" w:hAnsi="Times New Roman" w:cs="Times New Roman"/>
                <w:szCs w:val="24"/>
                <w:lang w:val="uk-UA"/>
              </w:rPr>
              <w:t>Збереження низької кредитної активності комерційних банків у реальному секторі</w:t>
            </w:r>
          </w:p>
        </w:tc>
        <w:tc>
          <w:tcPr>
            <w:tcW w:w="3969" w:type="dxa"/>
          </w:tcPr>
          <w:p w:rsidR="00B8517F" w:rsidRPr="00B8517F" w:rsidRDefault="00B8517F" w:rsidP="00FE1030">
            <w:pPr>
              <w:pStyle w:val="af1"/>
              <w:ind w:right="-106"/>
              <w:jc w:val="both"/>
              <w:rPr>
                <w:rFonts w:ascii="Times New Roman" w:hAnsi="Times New Roman" w:cs="Times New Roman"/>
                <w:b/>
                <w:szCs w:val="24"/>
                <w:lang w:val="uk-UA"/>
              </w:rPr>
            </w:pPr>
            <w:r w:rsidRPr="00B8517F">
              <w:rPr>
                <w:rFonts w:ascii="Times New Roman" w:hAnsi="Times New Roman" w:cs="Times New Roman"/>
                <w:b/>
                <w:szCs w:val="24"/>
                <w:lang w:val="uk-UA"/>
              </w:rPr>
              <w:t>Помірний.</w:t>
            </w:r>
          </w:p>
          <w:p w:rsidR="00B8517F" w:rsidRPr="00B8517F" w:rsidRDefault="00B8517F" w:rsidP="00FE1030">
            <w:pPr>
              <w:pStyle w:val="af1"/>
              <w:ind w:right="-106"/>
              <w:jc w:val="both"/>
              <w:rPr>
                <w:rFonts w:ascii="Times New Roman" w:hAnsi="Times New Roman" w:cs="Times New Roman"/>
                <w:b/>
                <w:szCs w:val="24"/>
                <w:lang w:val="uk-UA"/>
              </w:rPr>
            </w:pPr>
            <w:r w:rsidRPr="00B8517F">
              <w:rPr>
                <w:rFonts w:ascii="Times New Roman" w:hAnsi="Times New Roman" w:cs="Times New Roman"/>
                <w:szCs w:val="24"/>
                <w:lang w:val="uk-UA"/>
              </w:rPr>
              <w:t>Дефіцит фінансових ресурсів, у першу чергу, в корпоративному секторі, що стримуватиме розвиток підприємств (насамперед середніх та малих) та, відповідно, звужуватиме ділову активність в економіці та знижуватиме їх конкурентоспроможність в умовах недофінансування інвестиційних проектів.</w:t>
            </w:r>
          </w:p>
        </w:tc>
        <w:tc>
          <w:tcPr>
            <w:tcW w:w="2410" w:type="dxa"/>
          </w:tcPr>
          <w:p w:rsidR="00B8517F" w:rsidRPr="00B8517F" w:rsidRDefault="00B8517F" w:rsidP="00FE1030">
            <w:pPr>
              <w:pStyle w:val="af1"/>
              <w:ind w:right="-106"/>
              <w:jc w:val="both"/>
              <w:rPr>
                <w:rFonts w:ascii="Times New Roman" w:hAnsi="Times New Roman" w:cs="Times New Roman"/>
                <w:b/>
                <w:szCs w:val="24"/>
                <w:lang w:val="uk-UA"/>
              </w:rPr>
            </w:pPr>
            <w:r w:rsidRPr="00B8517F">
              <w:rPr>
                <w:rFonts w:ascii="Times New Roman" w:hAnsi="Times New Roman" w:cs="Times New Roman"/>
                <w:szCs w:val="24"/>
                <w:lang w:val="uk-UA"/>
              </w:rPr>
              <w:t xml:space="preserve">Втрата 1 в. п. кредитних ресурсів у структурі фінансування капітальних інвестицій (або 4 млрд гривень). </w:t>
            </w:r>
            <w:r w:rsidRPr="00B8517F">
              <w:rPr>
                <w:rFonts w:ascii="Times New Roman" w:hAnsi="Times New Roman" w:cs="Times New Roman"/>
                <w:b/>
                <w:szCs w:val="24"/>
                <w:lang w:val="uk-UA"/>
              </w:rPr>
              <w:t>ВВП – втрата 0,1 в. п.</w:t>
            </w:r>
          </w:p>
        </w:tc>
      </w:tr>
      <w:tr w:rsidR="00B8517F" w:rsidRPr="00B8517F" w:rsidTr="00FE1030">
        <w:trPr>
          <w:jc w:val="center"/>
        </w:trPr>
        <w:tc>
          <w:tcPr>
            <w:tcW w:w="421" w:type="dxa"/>
          </w:tcPr>
          <w:p w:rsidR="00B8517F" w:rsidRPr="00B8517F" w:rsidRDefault="00B8517F" w:rsidP="00FE1030">
            <w:pPr>
              <w:pStyle w:val="af1"/>
              <w:ind w:right="947"/>
              <w:jc w:val="both"/>
              <w:rPr>
                <w:rFonts w:ascii="Times New Roman" w:hAnsi="Times New Roman" w:cs="Times New Roman"/>
                <w:szCs w:val="24"/>
                <w:lang w:val="uk-UA"/>
              </w:rPr>
            </w:pPr>
            <w:r w:rsidRPr="00B8517F">
              <w:rPr>
                <w:rFonts w:ascii="Times New Roman" w:hAnsi="Times New Roman" w:cs="Times New Roman"/>
                <w:szCs w:val="24"/>
                <w:lang w:val="uk-UA"/>
              </w:rPr>
              <w:t>5</w:t>
            </w:r>
          </w:p>
        </w:tc>
        <w:tc>
          <w:tcPr>
            <w:tcW w:w="3118" w:type="dxa"/>
          </w:tcPr>
          <w:p w:rsidR="00B8517F" w:rsidRPr="00B8517F" w:rsidRDefault="00B8517F" w:rsidP="00FE1030">
            <w:pPr>
              <w:pStyle w:val="af1"/>
              <w:ind w:right="-86"/>
              <w:jc w:val="both"/>
              <w:rPr>
                <w:rFonts w:ascii="Times New Roman" w:hAnsi="Times New Roman" w:cs="Times New Roman"/>
                <w:szCs w:val="24"/>
                <w:lang w:val="uk-UA"/>
              </w:rPr>
            </w:pPr>
            <w:r w:rsidRPr="00B8517F">
              <w:rPr>
                <w:rFonts w:ascii="Times New Roman" w:hAnsi="Times New Roman" w:cs="Times New Roman"/>
                <w:szCs w:val="24"/>
                <w:lang w:val="uk-UA"/>
              </w:rPr>
              <w:t>Посилення неплатоспроможності суб’єктів економічної діяльності</w:t>
            </w:r>
          </w:p>
        </w:tc>
        <w:tc>
          <w:tcPr>
            <w:tcW w:w="3969" w:type="dxa"/>
          </w:tcPr>
          <w:p w:rsidR="00B8517F" w:rsidRPr="00B8517F" w:rsidRDefault="00B8517F" w:rsidP="00FE1030">
            <w:pPr>
              <w:jc w:val="both"/>
              <w:rPr>
                <w:rFonts w:ascii="Times New Roman" w:hAnsi="Times New Roman" w:cs="Times New Roman"/>
                <w:b/>
                <w:szCs w:val="24"/>
              </w:rPr>
            </w:pPr>
            <w:r w:rsidRPr="00B8517F">
              <w:rPr>
                <w:rFonts w:ascii="Times New Roman" w:hAnsi="Times New Roman" w:cs="Times New Roman"/>
                <w:b/>
                <w:szCs w:val="24"/>
              </w:rPr>
              <w:t>Помірний.</w:t>
            </w:r>
          </w:p>
          <w:p w:rsidR="00B8517F" w:rsidRPr="00B8517F" w:rsidRDefault="00B8517F" w:rsidP="00FE1030">
            <w:pPr>
              <w:jc w:val="both"/>
              <w:rPr>
                <w:rFonts w:ascii="Times New Roman" w:hAnsi="Times New Roman" w:cs="Times New Roman"/>
                <w:b/>
                <w:spacing w:val="-6"/>
                <w:szCs w:val="24"/>
              </w:rPr>
            </w:pPr>
            <w:r w:rsidRPr="00B8517F">
              <w:rPr>
                <w:rFonts w:ascii="Times New Roman" w:hAnsi="Times New Roman" w:cs="Times New Roman"/>
                <w:szCs w:val="24"/>
              </w:rPr>
              <w:t>Скорочення рівня зайнятості та зростання кількості безробітних внаслідок скорочення штатів підприємств або їх повної ліквідації. Зменшення заробітних плат та/або підвищення рівня цін підприємствами з метою покриття боргових зобов’язань.</w:t>
            </w:r>
          </w:p>
        </w:tc>
        <w:tc>
          <w:tcPr>
            <w:tcW w:w="2410" w:type="dxa"/>
          </w:tcPr>
          <w:p w:rsidR="00B8517F" w:rsidRPr="00B8517F" w:rsidRDefault="00B8517F" w:rsidP="00FE1030">
            <w:pPr>
              <w:jc w:val="both"/>
              <w:rPr>
                <w:rFonts w:ascii="Times New Roman" w:hAnsi="Times New Roman" w:cs="Times New Roman"/>
                <w:b/>
                <w:spacing w:val="-6"/>
                <w:szCs w:val="24"/>
              </w:rPr>
            </w:pPr>
            <w:r w:rsidRPr="00B8517F">
              <w:rPr>
                <w:rFonts w:ascii="Times New Roman" w:hAnsi="Times New Roman" w:cs="Times New Roman"/>
                <w:szCs w:val="24"/>
              </w:rPr>
              <w:t xml:space="preserve">Скорочення кількості зайнятих на 1% або близько на 150 тис осіб. </w:t>
            </w:r>
            <w:r w:rsidRPr="00B8517F">
              <w:rPr>
                <w:rFonts w:ascii="Times New Roman" w:hAnsi="Times New Roman" w:cs="Times New Roman"/>
                <w:b/>
                <w:szCs w:val="24"/>
              </w:rPr>
              <w:t xml:space="preserve">ВВП – втрата </w:t>
            </w:r>
            <w:r w:rsidRPr="00B8517F">
              <w:rPr>
                <w:rFonts w:ascii="Times New Roman" w:hAnsi="Times New Roman" w:cs="Times New Roman"/>
                <w:b/>
                <w:szCs w:val="24"/>
              </w:rPr>
              <w:br/>
              <w:t>1 в. п.</w:t>
            </w:r>
          </w:p>
        </w:tc>
      </w:tr>
      <w:tr w:rsidR="00B8517F" w:rsidRPr="00B8517F" w:rsidTr="00FE1030">
        <w:trPr>
          <w:trHeight w:val="1153"/>
          <w:jc w:val="center"/>
        </w:trPr>
        <w:tc>
          <w:tcPr>
            <w:tcW w:w="421" w:type="dxa"/>
          </w:tcPr>
          <w:p w:rsidR="00B8517F" w:rsidRPr="00B8517F" w:rsidRDefault="00B8517F" w:rsidP="00FE1030">
            <w:pPr>
              <w:pStyle w:val="af1"/>
              <w:ind w:right="947"/>
              <w:jc w:val="both"/>
              <w:rPr>
                <w:rFonts w:ascii="Times New Roman" w:hAnsi="Times New Roman" w:cs="Times New Roman"/>
                <w:szCs w:val="24"/>
                <w:lang w:val="uk-UA"/>
              </w:rPr>
            </w:pPr>
            <w:r w:rsidRPr="00B8517F">
              <w:rPr>
                <w:rFonts w:ascii="Times New Roman" w:hAnsi="Times New Roman" w:cs="Times New Roman"/>
                <w:szCs w:val="24"/>
                <w:lang w:val="uk-UA"/>
              </w:rPr>
              <w:t>6</w:t>
            </w:r>
          </w:p>
          <w:p w:rsidR="00B8517F" w:rsidRPr="00B8517F" w:rsidRDefault="00B8517F" w:rsidP="00FE1030">
            <w:pPr>
              <w:pStyle w:val="af1"/>
              <w:ind w:right="947"/>
              <w:jc w:val="both"/>
              <w:rPr>
                <w:rFonts w:ascii="Times New Roman" w:hAnsi="Times New Roman" w:cs="Times New Roman"/>
                <w:szCs w:val="24"/>
                <w:lang w:val="uk-UA"/>
              </w:rPr>
            </w:pPr>
          </w:p>
        </w:tc>
        <w:tc>
          <w:tcPr>
            <w:tcW w:w="3118" w:type="dxa"/>
          </w:tcPr>
          <w:p w:rsidR="00B8517F" w:rsidRPr="00B8517F" w:rsidRDefault="00B8517F" w:rsidP="00FE1030">
            <w:pPr>
              <w:pStyle w:val="af1"/>
              <w:ind w:right="-86"/>
              <w:jc w:val="both"/>
              <w:rPr>
                <w:rFonts w:ascii="Times New Roman" w:hAnsi="Times New Roman" w:cs="Times New Roman"/>
                <w:szCs w:val="24"/>
                <w:lang w:val="uk-UA"/>
              </w:rPr>
            </w:pPr>
            <w:r w:rsidRPr="00B8517F">
              <w:rPr>
                <w:rFonts w:ascii="Times New Roman" w:hAnsi="Times New Roman" w:cs="Times New Roman"/>
                <w:szCs w:val="24"/>
                <w:lang w:val="uk-UA"/>
              </w:rPr>
              <w:t>Отримання низького врожаю зернових культур</w:t>
            </w:r>
          </w:p>
        </w:tc>
        <w:tc>
          <w:tcPr>
            <w:tcW w:w="3969" w:type="dxa"/>
          </w:tcPr>
          <w:p w:rsidR="00B8517F" w:rsidRPr="00B8517F" w:rsidRDefault="00B8517F" w:rsidP="00FE1030">
            <w:pPr>
              <w:pStyle w:val="af1"/>
              <w:ind w:right="-86"/>
              <w:jc w:val="both"/>
              <w:rPr>
                <w:rFonts w:ascii="Times New Roman" w:hAnsi="Times New Roman" w:cs="Times New Roman"/>
                <w:b/>
                <w:szCs w:val="24"/>
                <w:lang w:val="uk-UA"/>
              </w:rPr>
            </w:pPr>
            <w:r w:rsidRPr="00B8517F">
              <w:rPr>
                <w:rFonts w:ascii="Times New Roman" w:hAnsi="Times New Roman" w:cs="Times New Roman"/>
                <w:b/>
                <w:szCs w:val="24"/>
                <w:lang w:val="uk-UA"/>
              </w:rPr>
              <w:t>Помірний.</w:t>
            </w:r>
          </w:p>
          <w:p w:rsidR="00B8517F" w:rsidRPr="00B8517F" w:rsidRDefault="00B8517F" w:rsidP="00FE1030">
            <w:pPr>
              <w:pStyle w:val="af1"/>
              <w:ind w:right="-86"/>
              <w:jc w:val="both"/>
              <w:rPr>
                <w:rFonts w:ascii="Times New Roman" w:hAnsi="Times New Roman" w:cs="Times New Roman"/>
                <w:szCs w:val="24"/>
                <w:lang w:val="uk-UA"/>
              </w:rPr>
            </w:pPr>
            <w:r w:rsidRPr="00B8517F">
              <w:rPr>
                <w:rFonts w:ascii="Times New Roman" w:hAnsi="Times New Roman" w:cs="Times New Roman"/>
                <w:szCs w:val="24"/>
                <w:lang w:val="uk-UA"/>
              </w:rPr>
              <w:t>Зменшення експортної спроможності аграрного сектору та, відповідно, валютних надходжень від експорту, падіння виробництва у переробній промисловості, дефіцит продовольчих товарів на внутрішньому ринку та зростання споживчих цін на харчові продукти, що займають значну частку у споживчому кошику.</w:t>
            </w:r>
          </w:p>
        </w:tc>
        <w:tc>
          <w:tcPr>
            <w:tcW w:w="2410" w:type="dxa"/>
          </w:tcPr>
          <w:p w:rsidR="00B8517F" w:rsidRPr="00B8517F" w:rsidRDefault="00B8517F" w:rsidP="00FE1030">
            <w:pPr>
              <w:pStyle w:val="af1"/>
              <w:ind w:right="-86"/>
              <w:jc w:val="both"/>
              <w:rPr>
                <w:rFonts w:ascii="Times New Roman" w:hAnsi="Times New Roman" w:cs="Times New Roman"/>
                <w:szCs w:val="24"/>
                <w:lang w:val="uk-UA"/>
              </w:rPr>
            </w:pPr>
            <w:r w:rsidRPr="00B8517F">
              <w:rPr>
                <w:rFonts w:ascii="Times New Roman" w:hAnsi="Times New Roman" w:cs="Times New Roman"/>
                <w:szCs w:val="24"/>
                <w:lang w:val="uk-UA"/>
              </w:rPr>
              <w:t xml:space="preserve">Втрати для експорту оцінюються на рівні близько 1,2 млрд доларів США. </w:t>
            </w:r>
            <w:r w:rsidRPr="00B8517F">
              <w:rPr>
                <w:rFonts w:ascii="Times New Roman" w:hAnsi="Times New Roman" w:cs="Times New Roman"/>
                <w:b/>
                <w:szCs w:val="24"/>
                <w:lang w:val="uk-UA"/>
              </w:rPr>
              <w:t>ВВП – втрата 0,6-0,8 в. п.</w:t>
            </w:r>
          </w:p>
        </w:tc>
      </w:tr>
    </w:tbl>
    <w:p w:rsidR="00B8517F" w:rsidRPr="00B8517F" w:rsidRDefault="00B8517F" w:rsidP="00B8517F">
      <w:pPr>
        <w:pStyle w:val="af1"/>
        <w:jc w:val="both"/>
        <w:rPr>
          <w:rFonts w:ascii="Times New Roman" w:eastAsia="Times New Roman" w:hAnsi="Times New Roman" w:cs="Times New Roman"/>
          <w:i/>
          <w:szCs w:val="24"/>
          <w:lang w:val="uk-UA" w:eastAsia="ru-RU" w:bidi="ar-SA"/>
        </w:rPr>
      </w:pPr>
      <w:r w:rsidRPr="00B8517F">
        <w:rPr>
          <w:rFonts w:ascii="Times New Roman" w:hAnsi="Times New Roman" w:cs="Times New Roman"/>
          <w:i/>
          <w:sz w:val="20"/>
          <w:lang w:val="uk-UA"/>
        </w:rPr>
        <w:t xml:space="preserve">* Оцінка реалізації ризику розрахована шляхом шокування певних припущень в одному з прогнозних років на базі показників за основним сценарієм прогнозу. Ризики, наведені у Матриці оцінки ризиків, були оцінені в рамках проведення дискусії з макроекономічного прогнозування (Консенсус-прогнозу, квітень 2021 року). Відносна ймовірність наведених ризиків являє собою суб’єктивну оцінку (“низька / помірна” вказує на ймовірність менше </w:t>
      </w:r>
      <w:r w:rsidRPr="00B8517F">
        <w:rPr>
          <w:rFonts w:ascii="Times New Roman" w:hAnsi="Times New Roman" w:cs="Times New Roman"/>
          <w:i/>
          <w:sz w:val="20"/>
          <w:lang w:val="uk-UA"/>
        </w:rPr>
        <w:br/>
        <w:t>30 відсотків, “середня” – ймовірність від 30 до 50 відсотків і “висока” – ймовірність 50 відсотків і вище).</w:t>
      </w:r>
    </w:p>
    <w:p w:rsidR="00B8517F" w:rsidRPr="00B8517F" w:rsidRDefault="00B8517F" w:rsidP="00B8517F">
      <w:pPr>
        <w:pStyle w:val="af1"/>
        <w:spacing w:line="316" w:lineRule="auto"/>
        <w:jc w:val="both"/>
        <w:rPr>
          <w:rFonts w:ascii="Times New Roman" w:hAnsi="Times New Roman" w:cs="Times New Roman"/>
          <w:i/>
          <w:sz w:val="24"/>
          <w:szCs w:val="24"/>
          <w:lang w:val="uk-UA"/>
        </w:rPr>
      </w:pPr>
      <w:r w:rsidRPr="00B8517F">
        <w:rPr>
          <w:rFonts w:ascii="Times New Roman" w:eastAsia="Times New Roman" w:hAnsi="Times New Roman" w:cs="Times New Roman"/>
          <w:i/>
          <w:sz w:val="24"/>
          <w:szCs w:val="24"/>
          <w:lang w:val="uk-UA" w:eastAsia="ru-RU" w:bidi="ar-SA"/>
        </w:rPr>
        <w:t>Джерело</w:t>
      </w:r>
      <w:r w:rsidRPr="00B8517F">
        <w:rPr>
          <w:rFonts w:ascii="Times New Roman" w:hAnsi="Times New Roman" w:cs="Times New Roman"/>
          <w:i/>
          <w:sz w:val="24"/>
          <w:szCs w:val="24"/>
          <w:lang w:val="uk-UA"/>
        </w:rPr>
        <w:t>: Міністерство економіки України.</w:t>
      </w:r>
    </w:p>
    <w:p w:rsidR="00B8517F" w:rsidRPr="00B8517F" w:rsidRDefault="00B8517F" w:rsidP="00B8517F">
      <w:pPr>
        <w:pStyle w:val="af1"/>
        <w:spacing w:before="120" w:after="120"/>
        <w:ind w:firstLine="567"/>
        <w:jc w:val="both"/>
        <w:rPr>
          <w:rFonts w:ascii="Times New Roman" w:hAnsi="Times New Roman" w:cs="Times New Roman"/>
          <w:b/>
          <w:sz w:val="24"/>
          <w:szCs w:val="24"/>
          <w:lang w:val="uk-UA"/>
        </w:rPr>
      </w:pPr>
      <w:r w:rsidRPr="00B8517F">
        <w:rPr>
          <w:rFonts w:ascii="Times New Roman" w:hAnsi="Times New Roman" w:cs="Times New Roman"/>
          <w:b/>
          <w:sz w:val="24"/>
          <w:szCs w:val="24"/>
          <w:lang w:val="uk-UA"/>
        </w:rPr>
        <w:t>Аналіз впливу шоків макроекономічного середовища на бюджетні показники</w:t>
      </w:r>
    </w:p>
    <w:p w:rsidR="00B8517F" w:rsidRPr="00B8517F" w:rsidRDefault="00B8517F" w:rsidP="00B8517F">
      <w:pPr>
        <w:pStyle w:val="af1"/>
        <w:ind w:firstLine="567"/>
        <w:jc w:val="both"/>
        <w:rPr>
          <w:rFonts w:ascii="Times New Roman" w:hAnsi="Times New Roman" w:cs="Times New Roman"/>
          <w:sz w:val="24"/>
          <w:szCs w:val="24"/>
          <w:lang w:val="uk-UA"/>
        </w:rPr>
      </w:pPr>
      <w:r w:rsidRPr="00B8517F">
        <w:rPr>
          <w:rFonts w:ascii="Times New Roman" w:hAnsi="Times New Roman" w:cs="Times New Roman"/>
          <w:sz w:val="24"/>
          <w:szCs w:val="24"/>
          <w:lang w:val="uk-UA"/>
        </w:rPr>
        <w:t xml:space="preserve">Оцінку впливу агрегованих макроекономічних показників на зміну бюджетних показників проведено за допомогою коефіцієнтів </w:t>
      </w:r>
      <w:proofErr w:type="spellStart"/>
      <w:r w:rsidRPr="00B8517F">
        <w:rPr>
          <w:rFonts w:ascii="Times New Roman" w:hAnsi="Times New Roman" w:cs="Times New Roman"/>
          <w:sz w:val="24"/>
          <w:szCs w:val="24"/>
          <w:lang w:val="uk-UA"/>
        </w:rPr>
        <w:t>еластичностей</w:t>
      </w:r>
      <w:proofErr w:type="spellEnd"/>
      <w:r w:rsidRPr="00B8517F">
        <w:rPr>
          <w:rFonts w:ascii="Times New Roman" w:hAnsi="Times New Roman" w:cs="Times New Roman"/>
          <w:sz w:val="24"/>
          <w:szCs w:val="24"/>
          <w:lang w:val="uk-UA"/>
        </w:rPr>
        <w:t xml:space="preserve"> окремих статей зведеного бюджету за реальним ВВП (у %) (див. таблицю).</w:t>
      </w:r>
    </w:p>
    <w:p w:rsidR="00B8517F" w:rsidRPr="00F536EC" w:rsidRDefault="00B8517F" w:rsidP="00B8517F">
      <w:pPr>
        <w:pStyle w:val="af1"/>
        <w:keepNext/>
        <w:spacing w:before="120" w:after="120"/>
        <w:jc w:val="center"/>
        <w:rPr>
          <w:rFonts w:ascii="Times New Roman" w:hAnsi="Times New Roman" w:cs="Times New Roman"/>
          <w:b/>
          <w:sz w:val="24"/>
          <w:szCs w:val="24"/>
          <w:lang w:val="uk-UA"/>
        </w:rPr>
      </w:pPr>
      <w:r w:rsidRPr="00F536EC">
        <w:rPr>
          <w:rFonts w:ascii="Times New Roman" w:hAnsi="Times New Roman" w:cs="Times New Roman"/>
          <w:b/>
          <w:sz w:val="24"/>
          <w:szCs w:val="24"/>
          <w:lang w:val="uk-UA"/>
        </w:rPr>
        <w:t>Коефіцієнти еластичності окремих видів доходів бюджету за ВВП (у %)</w:t>
      </w:r>
    </w:p>
    <w:tbl>
      <w:tblPr>
        <w:tblStyle w:val="a3"/>
        <w:tblW w:w="0" w:type="auto"/>
        <w:tblLook w:val="04A0" w:firstRow="1" w:lastRow="0" w:firstColumn="1" w:lastColumn="0" w:noHBand="0" w:noVBand="1"/>
      </w:tblPr>
      <w:tblGrid>
        <w:gridCol w:w="2262"/>
        <w:gridCol w:w="2694"/>
        <w:gridCol w:w="2551"/>
        <w:gridCol w:w="2404"/>
      </w:tblGrid>
      <w:tr w:rsidR="00B8517F" w:rsidRPr="00632A22" w:rsidTr="00FE1030">
        <w:trPr>
          <w:cantSplit/>
        </w:trPr>
        <w:tc>
          <w:tcPr>
            <w:tcW w:w="2263" w:type="dxa"/>
            <w:vMerge w:val="restart"/>
          </w:tcPr>
          <w:p w:rsidR="00B8517F" w:rsidRPr="00632A22" w:rsidRDefault="00B8517F" w:rsidP="00FE1030">
            <w:pPr>
              <w:pStyle w:val="af1"/>
              <w:keepNext/>
              <w:jc w:val="both"/>
              <w:rPr>
                <w:rFonts w:ascii="Times New Roman" w:hAnsi="Times New Roman" w:cs="Times New Roman"/>
                <w:szCs w:val="24"/>
                <w:lang w:val="uk-UA"/>
              </w:rPr>
            </w:pPr>
            <w:r w:rsidRPr="00632A22">
              <w:rPr>
                <w:rFonts w:ascii="Times New Roman" w:hAnsi="Times New Roman" w:cs="Times New Roman"/>
                <w:szCs w:val="24"/>
                <w:lang w:val="uk-UA"/>
              </w:rPr>
              <w:t>Змінні</w:t>
            </w:r>
          </w:p>
        </w:tc>
        <w:tc>
          <w:tcPr>
            <w:tcW w:w="5245" w:type="dxa"/>
            <w:gridSpan w:val="2"/>
          </w:tcPr>
          <w:p w:rsidR="00B8517F" w:rsidRPr="00632A22" w:rsidRDefault="00B8517F" w:rsidP="00FE1030">
            <w:pPr>
              <w:pStyle w:val="af1"/>
              <w:keepNext/>
              <w:jc w:val="center"/>
              <w:rPr>
                <w:rFonts w:ascii="Times New Roman" w:hAnsi="Times New Roman" w:cs="Times New Roman"/>
                <w:szCs w:val="24"/>
                <w:lang w:val="uk-UA"/>
              </w:rPr>
            </w:pPr>
            <w:r w:rsidRPr="00632A22">
              <w:rPr>
                <w:rFonts w:ascii="Times New Roman" w:hAnsi="Times New Roman" w:cs="Times New Roman"/>
                <w:szCs w:val="24"/>
                <w:lang w:val="uk-UA"/>
              </w:rPr>
              <w:t>Україна*</w:t>
            </w:r>
          </w:p>
        </w:tc>
        <w:tc>
          <w:tcPr>
            <w:tcW w:w="2404" w:type="dxa"/>
            <w:vMerge w:val="restart"/>
          </w:tcPr>
          <w:p w:rsidR="00B8517F" w:rsidRPr="00632A22" w:rsidRDefault="00B8517F" w:rsidP="00FE1030">
            <w:pPr>
              <w:pStyle w:val="af1"/>
              <w:keepNext/>
              <w:jc w:val="center"/>
              <w:rPr>
                <w:rFonts w:ascii="Times New Roman" w:hAnsi="Times New Roman" w:cs="Times New Roman"/>
                <w:szCs w:val="24"/>
                <w:lang w:val="uk-UA"/>
              </w:rPr>
            </w:pPr>
            <w:r w:rsidRPr="00632A22">
              <w:rPr>
                <w:rFonts w:ascii="Times New Roman" w:hAnsi="Times New Roman" w:cs="Times New Roman"/>
                <w:szCs w:val="24"/>
                <w:lang w:val="uk-UA"/>
              </w:rPr>
              <w:t>Довідково: еластичність показників в наслідок зміни ВВП на 1% для країн ОЕСР **</w:t>
            </w:r>
          </w:p>
        </w:tc>
      </w:tr>
      <w:tr w:rsidR="00B8517F" w:rsidRPr="00632A22" w:rsidTr="00FE1030">
        <w:trPr>
          <w:cantSplit/>
        </w:trPr>
        <w:tc>
          <w:tcPr>
            <w:tcW w:w="2263" w:type="dxa"/>
            <w:vMerge/>
          </w:tcPr>
          <w:p w:rsidR="00B8517F" w:rsidRPr="00632A22" w:rsidRDefault="00B8517F" w:rsidP="00FE1030">
            <w:pPr>
              <w:pStyle w:val="af1"/>
              <w:keepNext/>
              <w:jc w:val="both"/>
              <w:rPr>
                <w:rFonts w:ascii="Times New Roman" w:hAnsi="Times New Roman" w:cs="Times New Roman"/>
                <w:szCs w:val="24"/>
                <w:lang w:val="uk-UA"/>
              </w:rPr>
            </w:pPr>
          </w:p>
        </w:tc>
        <w:tc>
          <w:tcPr>
            <w:tcW w:w="2694" w:type="dxa"/>
          </w:tcPr>
          <w:p w:rsidR="00B8517F" w:rsidRPr="00632A22" w:rsidRDefault="00B8517F" w:rsidP="00FE1030">
            <w:pPr>
              <w:pStyle w:val="af1"/>
              <w:keepNext/>
              <w:jc w:val="center"/>
              <w:rPr>
                <w:rFonts w:ascii="Times New Roman" w:hAnsi="Times New Roman" w:cs="Times New Roman"/>
                <w:szCs w:val="24"/>
                <w:lang w:val="uk-UA"/>
              </w:rPr>
            </w:pPr>
            <w:proofErr w:type="spellStart"/>
            <w:r w:rsidRPr="00632A22">
              <w:rPr>
                <w:rFonts w:ascii="Times New Roman" w:hAnsi="Times New Roman" w:cs="Times New Roman"/>
                <w:szCs w:val="24"/>
                <w:lang w:val="uk-UA"/>
              </w:rPr>
              <w:t>Еластистичність</w:t>
            </w:r>
            <w:proofErr w:type="spellEnd"/>
            <w:r w:rsidRPr="00632A22">
              <w:rPr>
                <w:rFonts w:ascii="Times New Roman" w:hAnsi="Times New Roman" w:cs="Times New Roman"/>
                <w:szCs w:val="24"/>
                <w:lang w:val="uk-UA"/>
              </w:rPr>
              <w:t xml:space="preserve"> показника в наслідок зміни ВВП на 1% (в короткостроковому періоді)</w:t>
            </w:r>
          </w:p>
        </w:tc>
        <w:tc>
          <w:tcPr>
            <w:tcW w:w="2551" w:type="dxa"/>
          </w:tcPr>
          <w:p w:rsidR="00B8517F" w:rsidRPr="00632A22" w:rsidRDefault="00B8517F" w:rsidP="00FE1030">
            <w:pPr>
              <w:pStyle w:val="af1"/>
              <w:keepNext/>
              <w:jc w:val="center"/>
              <w:rPr>
                <w:rFonts w:ascii="Times New Roman" w:hAnsi="Times New Roman" w:cs="Times New Roman"/>
                <w:szCs w:val="24"/>
                <w:lang w:val="uk-UA"/>
              </w:rPr>
            </w:pPr>
            <w:proofErr w:type="spellStart"/>
            <w:r w:rsidRPr="00632A22">
              <w:rPr>
                <w:rFonts w:ascii="Times New Roman" w:hAnsi="Times New Roman" w:cs="Times New Roman"/>
                <w:szCs w:val="24"/>
                <w:lang w:val="uk-UA"/>
              </w:rPr>
              <w:t>Еластистичність</w:t>
            </w:r>
            <w:proofErr w:type="spellEnd"/>
            <w:r w:rsidRPr="00632A22">
              <w:rPr>
                <w:rFonts w:ascii="Times New Roman" w:hAnsi="Times New Roman" w:cs="Times New Roman"/>
                <w:szCs w:val="24"/>
                <w:lang w:val="uk-UA"/>
              </w:rPr>
              <w:t xml:space="preserve"> показника в наслідок зміни ВВП на 1% (в довгостроковому періоді)</w:t>
            </w:r>
          </w:p>
        </w:tc>
        <w:tc>
          <w:tcPr>
            <w:tcW w:w="2404" w:type="dxa"/>
            <w:vMerge/>
          </w:tcPr>
          <w:p w:rsidR="00B8517F" w:rsidRPr="00632A22" w:rsidRDefault="00B8517F" w:rsidP="00FE1030">
            <w:pPr>
              <w:pStyle w:val="af1"/>
              <w:keepNext/>
              <w:jc w:val="center"/>
              <w:rPr>
                <w:rFonts w:ascii="Times New Roman" w:hAnsi="Times New Roman" w:cs="Times New Roman"/>
                <w:szCs w:val="24"/>
                <w:lang w:val="uk-UA"/>
              </w:rPr>
            </w:pPr>
          </w:p>
        </w:tc>
      </w:tr>
      <w:tr w:rsidR="00B8517F" w:rsidRPr="00632A22" w:rsidTr="00FE1030">
        <w:trPr>
          <w:cantSplit/>
        </w:trPr>
        <w:tc>
          <w:tcPr>
            <w:tcW w:w="2263" w:type="dxa"/>
          </w:tcPr>
          <w:p w:rsidR="00B8517F" w:rsidRPr="00632A22" w:rsidRDefault="00B8517F" w:rsidP="00FE1030">
            <w:pPr>
              <w:pStyle w:val="af1"/>
              <w:keepNext/>
              <w:jc w:val="both"/>
              <w:rPr>
                <w:rFonts w:ascii="Times New Roman" w:hAnsi="Times New Roman" w:cs="Times New Roman"/>
                <w:szCs w:val="24"/>
                <w:lang w:val="uk-UA"/>
              </w:rPr>
            </w:pPr>
            <w:r w:rsidRPr="00632A22">
              <w:rPr>
                <w:rFonts w:ascii="Times New Roman" w:hAnsi="Times New Roman" w:cs="Times New Roman"/>
                <w:szCs w:val="24"/>
                <w:lang w:val="uk-UA"/>
              </w:rPr>
              <w:t>Доходи бюджету</w:t>
            </w:r>
          </w:p>
        </w:tc>
        <w:tc>
          <w:tcPr>
            <w:tcW w:w="2694" w:type="dxa"/>
          </w:tcPr>
          <w:p w:rsidR="00B8517F" w:rsidRPr="00632A22" w:rsidRDefault="00B8517F" w:rsidP="00FE1030">
            <w:pPr>
              <w:pStyle w:val="af1"/>
              <w:keepNext/>
              <w:jc w:val="center"/>
              <w:rPr>
                <w:rFonts w:ascii="Times New Roman" w:hAnsi="Times New Roman" w:cs="Times New Roman"/>
                <w:szCs w:val="24"/>
                <w:lang w:val="uk-UA"/>
              </w:rPr>
            </w:pPr>
            <w:r w:rsidRPr="00632A22">
              <w:rPr>
                <w:rFonts w:ascii="Times New Roman" w:hAnsi="Times New Roman" w:cs="Times New Roman"/>
                <w:szCs w:val="24"/>
                <w:lang w:val="uk-UA"/>
              </w:rPr>
              <w:t>0,7</w:t>
            </w:r>
          </w:p>
        </w:tc>
        <w:tc>
          <w:tcPr>
            <w:tcW w:w="2551" w:type="dxa"/>
          </w:tcPr>
          <w:p w:rsidR="00B8517F" w:rsidRPr="00632A22" w:rsidRDefault="00B8517F" w:rsidP="00FE1030">
            <w:pPr>
              <w:pStyle w:val="af1"/>
              <w:keepNext/>
              <w:jc w:val="center"/>
              <w:rPr>
                <w:rFonts w:ascii="Times New Roman" w:hAnsi="Times New Roman" w:cs="Times New Roman"/>
                <w:szCs w:val="24"/>
                <w:lang w:val="uk-UA"/>
              </w:rPr>
            </w:pPr>
            <w:r w:rsidRPr="00632A22">
              <w:rPr>
                <w:rFonts w:ascii="Times New Roman" w:hAnsi="Times New Roman" w:cs="Times New Roman"/>
                <w:szCs w:val="24"/>
                <w:lang w:val="uk-UA"/>
              </w:rPr>
              <w:t>1,2</w:t>
            </w:r>
          </w:p>
        </w:tc>
        <w:tc>
          <w:tcPr>
            <w:tcW w:w="2404" w:type="dxa"/>
          </w:tcPr>
          <w:p w:rsidR="00B8517F" w:rsidRPr="00632A22" w:rsidRDefault="00B8517F" w:rsidP="00FE1030">
            <w:pPr>
              <w:pStyle w:val="af1"/>
              <w:keepNext/>
              <w:jc w:val="center"/>
              <w:rPr>
                <w:rFonts w:ascii="Times New Roman" w:hAnsi="Times New Roman" w:cs="Times New Roman"/>
                <w:szCs w:val="24"/>
                <w:lang w:val="uk-UA"/>
              </w:rPr>
            </w:pPr>
            <w:r>
              <w:rPr>
                <w:rFonts w:ascii="Times New Roman" w:hAnsi="Times New Roman" w:cs="Times New Roman"/>
                <w:szCs w:val="24"/>
                <w:lang w:val="uk-UA"/>
              </w:rPr>
              <w:t>-</w:t>
            </w:r>
          </w:p>
        </w:tc>
      </w:tr>
      <w:tr w:rsidR="00B8517F" w:rsidRPr="00632A22" w:rsidTr="00FE1030">
        <w:trPr>
          <w:cantSplit/>
        </w:trPr>
        <w:tc>
          <w:tcPr>
            <w:tcW w:w="2263" w:type="dxa"/>
          </w:tcPr>
          <w:p w:rsidR="00B8517F" w:rsidRPr="00632A22" w:rsidRDefault="00B8517F" w:rsidP="00FE1030">
            <w:pPr>
              <w:pStyle w:val="af1"/>
              <w:keepNext/>
              <w:jc w:val="both"/>
              <w:rPr>
                <w:rFonts w:ascii="Times New Roman" w:hAnsi="Times New Roman" w:cs="Times New Roman"/>
                <w:szCs w:val="24"/>
                <w:lang w:val="uk-UA"/>
              </w:rPr>
            </w:pPr>
            <w:r w:rsidRPr="00632A22">
              <w:rPr>
                <w:rFonts w:ascii="Times New Roman" w:hAnsi="Times New Roman" w:cs="Times New Roman"/>
                <w:szCs w:val="24"/>
                <w:lang w:val="uk-UA"/>
              </w:rPr>
              <w:t>ПДФО</w:t>
            </w:r>
          </w:p>
        </w:tc>
        <w:tc>
          <w:tcPr>
            <w:tcW w:w="2694" w:type="dxa"/>
          </w:tcPr>
          <w:p w:rsidR="00B8517F" w:rsidRPr="00632A22" w:rsidRDefault="00B8517F" w:rsidP="00FE1030">
            <w:pPr>
              <w:pStyle w:val="af1"/>
              <w:keepNext/>
              <w:jc w:val="center"/>
              <w:rPr>
                <w:rFonts w:ascii="Times New Roman" w:hAnsi="Times New Roman" w:cs="Times New Roman"/>
                <w:szCs w:val="24"/>
                <w:lang w:val="uk-UA"/>
              </w:rPr>
            </w:pPr>
            <w:r w:rsidRPr="00632A22">
              <w:rPr>
                <w:rFonts w:ascii="Times New Roman" w:hAnsi="Times New Roman" w:cs="Times New Roman"/>
                <w:szCs w:val="24"/>
                <w:lang w:val="uk-UA"/>
              </w:rPr>
              <w:t>0,7</w:t>
            </w:r>
          </w:p>
        </w:tc>
        <w:tc>
          <w:tcPr>
            <w:tcW w:w="2551" w:type="dxa"/>
          </w:tcPr>
          <w:p w:rsidR="00B8517F" w:rsidRPr="00632A22" w:rsidRDefault="00B8517F" w:rsidP="00FE1030">
            <w:pPr>
              <w:pStyle w:val="af1"/>
              <w:keepNext/>
              <w:jc w:val="center"/>
              <w:rPr>
                <w:rFonts w:ascii="Times New Roman" w:hAnsi="Times New Roman" w:cs="Times New Roman"/>
                <w:szCs w:val="24"/>
                <w:lang w:val="uk-UA"/>
              </w:rPr>
            </w:pPr>
            <w:r w:rsidRPr="00632A22">
              <w:rPr>
                <w:rFonts w:ascii="Times New Roman" w:hAnsi="Times New Roman" w:cs="Times New Roman"/>
                <w:szCs w:val="24"/>
                <w:lang w:val="uk-UA"/>
              </w:rPr>
              <w:t>0,9</w:t>
            </w:r>
          </w:p>
        </w:tc>
        <w:tc>
          <w:tcPr>
            <w:tcW w:w="2404" w:type="dxa"/>
          </w:tcPr>
          <w:p w:rsidR="00B8517F" w:rsidRPr="00632A22" w:rsidRDefault="00B8517F" w:rsidP="00FE1030">
            <w:pPr>
              <w:pStyle w:val="af1"/>
              <w:keepNext/>
              <w:jc w:val="center"/>
              <w:rPr>
                <w:rFonts w:ascii="Times New Roman" w:hAnsi="Times New Roman" w:cs="Times New Roman"/>
                <w:szCs w:val="24"/>
                <w:lang w:val="uk-UA"/>
              </w:rPr>
            </w:pPr>
            <w:r w:rsidRPr="00632A22">
              <w:rPr>
                <w:rFonts w:ascii="Times New Roman" w:hAnsi="Times New Roman" w:cs="Times New Roman"/>
                <w:szCs w:val="24"/>
                <w:lang w:val="uk-UA"/>
              </w:rPr>
              <w:t>1,3</w:t>
            </w:r>
          </w:p>
        </w:tc>
      </w:tr>
      <w:tr w:rsidR="00B8517F" w:rsidRPr="00632A22" w:rsidTr="00FE1030">
        <w:trPr>
          <w:cantSplit/>
        </w:trPr>
        <w:tc>
          <w:tcPr>
            <w:tcW w:w="2263" w:type="dxa"/>
          </w:tcPr>
          <w:p w:rsidR="00B8517F" w:rsidRPr="00632A22" w:rsidRDefault="00B8517F" w:rsidP="00FE1030">
            <w:pPr>
              <w:pStyle w:val="af1"/>
              <w:keepNext/>
              <w:jc w:val="both"/>
              <w:rPr>
                <w:rFonts w:ascii="Times New Roman" w:hAnsi="Times New Roman" w:cs="Times New Roman"/>
                <w:szCs w:val="24"/>
                <w:lang w:val="uk-UA"/>
              </w:rPr>
            </w:pPr>
            <w:r w:rsidRPr="00632A22">
              <w:rPr>
                <w:rFonts w:ascii="Times New Roman" w:hAnsi="Times New Roman" w:cs="Times New Roman"/>
                <w:szCs w:val="24"/>
                <w:lang w:val="uk-UA"/>
              </w:rPr>
              <w:t>ПДВ на імпорт</w:t>
            </w:r>
          </w:p>
        </w:tc>
        <w:tc>
          <w:tcPr>
            <w:tcW w:w="2694" w:type="dxa"/>
          </w:tcPr>
          <w:p w:rsidR="00B8517F" w:rsidRPr="00632A22" w:rsidRDefault="00B8517F" w:rsidP="00FE1030">
            <w:pPr>
              <w:pStyle w:val="af1"/>
              <w:keepNext/>
              <w:jc w:val="center"/>
              <w:rPr>
                <w:rFonts w:ascii="Times New Roman" w:hAnsi="Times New Roman" w:cs="Times New Roman"/>
                <w:szCs w:val="24"/>
                <w:lang w:val="uk-UA"/>
              </w:rPr>
            </w:pPr>
            <w:r w:rsidRPr="00632A22">
              <w:rPr>
                <w:rFonts w:ascii="Times New Roman" w:hAnsi="Times New Roman" w:cs="Times New Roman"/>
                <w:szCs w:val="24"/>
                <w:lang w:val="uk-UA"/>
              </w:rPr>
              <w:t>1,2</w:t>
            </w:r>
          </w:p>
        </w:tc>
        <w:tc>
          <w:tcPr>
            <w:tcW w:w="2551" w:type="dxa"/>
          </w:tcPr>
          <w:p w:rsidR="00B8517F" w:rsidRPr="00632A22" w:rsidRDefault="00B8517F" w:rsidP="00FE1030">
            <w:pPr>
              <w:pStyle w:val="af1"/>
              <w:keepNext/>
              <w:jc w:val="center"/>
              <w:rPr>
                <w:rFonts w:ascii="Times New Roman" w:hAnsi="Times New Roman" w:cs="Times New Roman"/>
                <w:szCs w:val="24"/>
                <w:lang w:val="uk-UA"/>
              </w:rPr>
            </w:pPr>
            <w:r w:rsidRPr="00632A22">
              <w:rPr>
                <w:rFonts w:ascii="Times New Roman" w:hAnsi="Times New Roman" w:cs="Times New Roman"/>
                <w:szCs w:val="24"/>
                <w:lang w:val="uk-UA"/>
              </w:rPr>
              <w:t>2,7</w:t>
            </w:r>
          </w:p>
        </w:tc>
        <w:tc>
          <w:tcPr>
            <w:tcW w:w="2404" w:type="dxa"/>
          </w:tcPr>
          <w:p w:rsidR="00B8517F" w:rsidRPr="00632A22" w:rsidRDefault="00B8517F" w:rsidP="00FE1030">
            <w:pPr>
              <w:pStyle w:val="af1"/>
              <w:keepNext/>
              <w:jc w:val="center"/>
              <w:rPr>
                <w:rFonts w:ascii="Times New Roman" w:hAnsi="Times New Roman" w:cs="Times New Roman"/>
                <w:szCs w:val="24"/>
                <w:lang w:val="uk-UA"/>
              </w:rPr>
            </w:pPr>
            <w:r w:rsidRPr="00632A22">
              <w:rPr>
                <w:rFonts w:ascii="Times New Roman" w:hAnsi="Times New Roman" w:cs="Times New Roman"/>
                <w:szCs w:val="24"/>
                <w:lang w:val="uk-UA"/>
              </w:rPr>
              <w:t>1,0</w:t>
            </w:r>
          </w:p>
        </w:tc>
      </w:tr>
      <w:tr w:rsidR="00B8517F" w:rsidRPr="00632A22" w:rsidTr="00FE1030">
        <w:trPr>
          <w:cantSplit/>
        </w:trPr>
        <w:tc>
          <w:tcPr>
            <w:tcW w:w="2263" w:type="dxa"/>
          </w:tcPr>
          <w:p w:rsidR="00B8517F" w:rsidRPr="00632A22" w:rsidRDefault="00B8517F" w:rsidP="00FE1030">
            <w:pPr>
              <w:pStyle w:val="af1"/>
              <w:keepNext/>
              <w:jc w:val="both"/>
              <w:rPr>
                <w:rFonts w:ascii="Times New Roman" w:hAnsi="Times New Roman" w:cs="Times New Roman"/>
                <w:szCs w:val="24"/>
                <w:lang w:val="uk-UA"/>
              </w:rPr>
            </w:pPr>
            <w:r w:rsidRPr="00632A22">
              <w:rPr>
                <w:rFonts w:ascii="Times New Roman" w:hAnsi="Times New Roman" w:cs="Times New Roman"/>
                <w:szCs w:val="24"/>
                <w:lang w:val="uk-UA"/>
              </w:rPr>
              <w:t>Податок на прибуток підприємств</w:t>
            </w:r>
          </w:p>
        </w:tc>
        <w:tc>
          <w:tcPr>
            <w:tcW w:w="2694" w:type="dxa"/>
          </w:tcPr>
          <w:p w:rsidR="00B8517F" w:rsidRPr="00632A22" w:rsidRDefault="00B8517F" w:rsidP="00FE1030">
            <w:pPr>
              <w:pStyle w:val="af1"/>
              <w:keepNext/>
              <w:jc w:val="center"/>
              <w:rPr>
                <w:rFonts w:ascii="Times New Roman" w:hAnsi="Times New Roman" w:cs="Times New Roman"/>
                <w:szCs w:val="24"/>
                <w:lang w:val="uk-UA"/>
              </w:rPr>
            </w:pPr>
            <w:r w:rsidRPr="00632A22">
              <w:rPr>
                <w:rFonts w:ascii="Times New Roman" w:hAnsi="Times New Roman" w:cs="Times New Roman"/>
                <w:szCs w:val="24"/>
                <w:lang w:val="uk-UA"/>
              </w:rPr>
              <w:t>1,6</w:t>
            </w:r>
          </w:p>
        </w:tc>
        <w:tc>
          <w:tcPr>
            <w:tcW w:w="2551" w:type="dxa"/>
          </w:tcPr>
          <w:p w:rsidR="00B8517F" w:rsidRPr="00632A22" w:rsidRDefault="00B8517F" w:rsidP="00FE1030">
            <w:pPr>
              <w:pStyle w:val="af1"/>
              <w:keepNext/>
              <w:jc w:val="center"/>
              <w:rPr>
                <w:rFonts w:ascii="Times New Roman" w:hAnsi="Times New Roman" w:cs="Times New Roman"/>
                <w:szCs w:val="24"/>
                <w:lang w:val="uk-UA"/>
              </w:rPr>
            </w:pPr>
            <w:r w:rsidRPr="00632A22">
              <w:rPr>
                <w:rFonts w:ascii="Times New Roman" w:hAnsi="Times New Roman" w:cs="Times New Roman"/>
                <w:szCs w:val="24"/>
                <w:lang w:val="uk-UA"/>
              </w:rPr>
              <w:t>1,7</w:t>
            </w:r>
          </w:p>
        </w:tc>
        <w:tc>
          <w:tcPr>
            <w:tcW w:w="2404" w:type="dxa"/>
          </w:tcPr>
          <w:p w:rsidR="00B8517F" w:rsidRPr="00632A22" w:rsidRDefault="00B8517F" w:rsidP="00FE1030">
            <w:pPr>
              <w:pStyle w:val="af1"/>
              <w:keepNext/>
              <w:jc w:val="center"/>
              <w:rPr>
                <w:rFonts w:ascii="Times New Roman" w:hAnsi="Times New Roman" w:cs="Times New Roman"/>
                <w:szCs w:val="24"/>
                <w:lang w:val="uk-UA"/>
              </w:rPr>
            </w:pPr>
            <w:r w:rsidRPr="00632A22">
              <w:rPr>
                <w:rFonts w:ascii="Times New Roman" w:hAnsi="Times New Roman" w:cs="Times New Roman"/>
                <w:szCs w:val="24"/>
                <w:lang w:val="uk-UA"/>
              </w:rPr>
              <w:t>1,5</w:t>
            </w:r>
          </w:p>
        </w:tc>
      </w:tr>
      <w:tr w:rsidR="00B8517F" w:rsidRPr="00632A22" w:rsidTr="00FE1030">
        <w:trPr>
          <w:cantSplit/>
        </w:trPr>
        <w:tc>
          <w:tcPr>
            <w:tcW w:w="2263" w:type="dxa"/>
          </w:tcPr>
          <w:p w:rsidR="00B8517F" w:rsidRPr="00632A22" w:rsidRDefault="00B8517F" w:rsidP="00FE1030">
            <w:pPr>
              <w:pStyle w:val="af1"/>
              <w:keepNext/>
              <w:jc w:val="both"/>
              <w:rPr>
                <w:rFonts w:ascii="Times New Roman" w:hAnsi="Times New Roman" w:cs="Times New Roman"/>
                <w:szCs w:val="24"/>
                <w:lang w:val="uk-UA"/>
              </w:rPr>
            </w:pPr>
            <w:r w:rsidRPr="00632A22">
              <w:rPr>
                <w:rFonts w:ascii="Times New Roman" w:hAnsi="Times New Roman" w:cs="Times New Roman"/>
                <w:szCs w:val="24"/>
                <w:lang w:val="uk-UA"/>
              </w:rPr>
              <w:t>Ввізне мито</w:t>
            </w:r>
          </w:p>
        </w:tc>
        <w:tc>
          <w:tcPr>
            <w:tcW w:w="2694" w:type="dxa"/>
          </w:tcPr>
          <w:p w:rsidR="00B8517F" w:rsidRPr="00632A22" w:rsidRDefault="00B8517F" w:rsidP="00FE1030">
            <w:pPr>
              <w:pStyle w:val="af1"/>
              <w:keepNext/>
              <w:jc w:val="center"/>
              <w:rPr>
                <w:rFonts w:ascii="Times New Roman" w:hAnsi="Times New Roman" w:cs="Times New Roman"/>
                <w:szCs w:val="24"/>
                <w:lang w:val="uk-UA"/>
              </w:rPr>
            </w:pPr>
            <w:r w:rsidRPr="00632A22">
              <w:rPr>
                <w:rFonts w:ascii="Times New Roman" w:hAnsi="Times New Roman" w:cs="Times New Roman"/>
                <w:szCs w:val="24"/>
                <w:lang w:val="uk-UA"/>
              </w:rPr>
              <w:t>1,7</w:t>
            </w:r>
          </w:p>
        </w:tc>
        <w:tc>
          <w:tcPr>
            <w:tcW w:w="2551" w:type="dxa"/>
          </w:tcPr>
          <w:p w:rsidR="00B8517F" w:rsidRPr="00632A22" w:rsidRDefault="00B8517F" w:rsidP="00FE1030">
            <w:pPr>
              <w:pStyle w:val="af1"/>
              <w:keepNext/>
              <w:jc w:val="center"/>
              <w:rPr>
                <w:rFonts w:ascii="Times New Roman" w:hAnsi="Times New Roman" w:cs="Times New Roman"/>
                <w:szCs w:val="24"/>
                <w:lang w:val="uk-UA"/>
              </w:rPr>
            </w:pPr>
            <w:r w:rsidRPr="00632A22">
              <w:rPr>
                <w:rFonts w:ascii="Times New Roman" w:hAnsi="Times New Roman" w:cs="Times New Roman"/>
                <w:szCs w:val="24"/>
                <w:lang w:val="uk-UA"/>
              </w:rPr>
              <w:t>0,9</w:t>
            </w:r>
          </w:p>
        </w:tc>
        <w:tc>
          <w:tcPr>
            <w:tcW w:w="2404" w:type="dxa"/>
          </w:tcPr>
          <w:p w:rsidR="00B8517F" w:rsidRPr="00632A22" w:rsidRDefault="00B8517F" w:rsidP="00FE1030">
            <w:pPr>
              <w:pStyle w:val="af1"/>
              <w:keepNext/>
              <w:jc w:val="center"/>
              <w:rPr>
                <w:rFonts w:ascii="Times New Roman" w:hAnsi="Times New Roman" w:cs="Times New Roman"/>
                <w:szCs w:val="24"/>
                <w:lang w:val="uk-UA"/>
              </w:rPr>
            </w:pPr>
            <w:r w:rsidRPr="00632A22">
              <w:rPr>
                <w:rFonts w:ascii="Times New Roman" w:hAnsi="Times New Roman" w:cs="Times New Roman"/>
                <w:szCs w:val="24"/>
                <w:lang w:val="uk-UA"/>
              </w:rPr>
              <w:t>1,0</w:t>
            </w:r>
          </w:p>
        </w:tc>
      </w:tr>
      <w:tr w:rsidR="00B8517F" w:rsidRPr="00632A22" w:rsidTr="00FE1030">
        <w:trPr>
          <w:cantSplit/>
        </w:trPr>
        <w:tc>
          <w:tcPr>
            <w:tcW w:w="2263" w:type="dxa"/>
          </w:tcPr>
          <w:p w:rsidR="00B8517F" w:rsidRPr="00632A22" w:rsidRDefault="00B8517F" w:rsidP="00FE1030">
            <w:pPr>
              <w:pStyle w:val="af1"/>
              <w:keepNext/>
              <w:jc w:val="both"/>
              <w:rPr>
                <w:rFonts w:ascii="Times New Roman" w:hAnsi="Times New Roman" w:cs="Times New Roman"/>
                <w:szCs w:val="24"/>
                <w:lang w:val="uk-UA"/>
              </w:rPr>
            </w:pPr>
            <w:r w:rsidRPr="00632A22">
              <w:rPr>
                <w:rFonts w:ascii="Times New Roman" w:hAnsi="Times New Roman" w:cs="Times New Roman"/>
                <w:szCs w:val="24"/>
                <w:lang w:val="uk-UA"/>
              </w:rPr>
              <w:t xml:space="preserve">Акцизний податок </w:t>
            </w:r>
          </w:p>
        </w:tc>
        <w:tc>
          <w:tcPr>
            <w:tcW w:w="2694" w:type="dxa"/>
          </w:tcPr>
          <w:p w:rsidR="00B8517F" w:rsidRPr="00632A22" w:rsidRDefault="00B8517F" w:rsidP="00FE1030">
            <w:pPr>
              <w:pStyle w:val="af1"/>
              <w:keepNext/>
              <w:jc w:val="center"/>
              <w:rPr>
                <w:rFonts w:ascii="Times New Roman" w:hAnsi="Times New Roman" w:cs="Times New Roman"/>
                <w:szCs w:val="24"/>
                <w:lang w:val="uk-UA"/>
              </w:rPr>
            </w:pPr>
            <w:r w:rsidRPr="00632A22">
              <w:rPr>
                <w:rFonts w:ascii="Times New Roman" w:hAnsi="Times New Roman" w:cs="Times New Roman"/>
                <w:szCs w:val="24"/>
                <w:lang w:val="uk-UA"/>
              </w:rPr>
              <w:t>0,7</w:t>
            </w:r>
          </w:p>
        </w:tc>
        <w:tc>
          <w:tcPr>
            <w:tcW w:w="2551" w:type="dxa"/>
          </w:tcPr>
          <w:p w:rsidR="00B8517F" w:rsidRPr="00632A22" w:rsidRDefault="00B8517F" w:rsidP="00FE1030">
            <w:pPr>
              <w:pStyle w:val="af1"/>
              <w:keepNext/>
              <w:jc w:val="center"/>
              <w:rPr>
                <w:rFonts w:ascii="Times New Roman" w:hAnsi="Times New Roman" w:cs="Times New Roman"/>
                <w:szCs w:val="24"/>
                <w:lang w:val="uk-UA"/>
              </w:rPr>
            </w:pPr>
            <w:r w:rsidRPr="00632A22">
              <w:rPr>
                <w:rFonts w:ascii="Times New Roman" w:hAnsi="Times New Roman" w:cs="Times New Roman"/>
                <w:szCs w:val="24"/>
                <w:lang w:val="uk-UA"/>
              </w:rPr>
              <w:t>0,6</w:t>
            </w:r>
          </w:p>
        </w:tc>
        <w:tc>
          <w:tcPr>
            <w:tcW w:w="2404" w:type="dxa"/>
          </w:tcPr>
          <w:p w:rsidR="00B8517F" w:rsidRPr="00632A22" w:rsidRDefault="00B8517F" w:rsidP="00FE1030">
            <w:pPr>
              <w:pStyle w:val="af1"/>
              <w:keepNext/>
              <w:jc w:val="center"/>
              <w:rPr>
                <w:rFonts w:ascii="Times New Roman" w:hAnsi="Times New Roman" w:cs="Times New Roman"/>
                <w:szCs w:val="24"/>
                <w:lang w:val="uk-UA"/>
              </w:rPr>
            </w:pPr>
            <w:r w:rsidRPr="00632A22">
              <w:rPr>
                <w:rFonts w:ascii="Times New Roman" w:hAnsi="Times New Roman" w:cs="Times New Roman"/>
                <w:szCs w:val="24"/>
                <w:lang w:val="uk-UA"/>
              </w:rPr>
              <w:t>1,0</w:t>
            </w:r>
          </w:p>
        </w:tc>
      </w:tr>
    </w:tbl>
    <w:p w:rsidR="00B8517F" w:rsidRPr="00F536EC" w:rsidRDefault="00B8517F" w:rsidP="00B8517F">
      <w:pPr>
        <w:pStyle w:val="af1"/>
        <w:jc w:val="both"/>
        <w:rPr>
          <w:rFonts w:ascii="Times New Roman" w:hAnsi="Times New Roman" w:cs="Times New Roman"/>
          <w:sz w:val="20"/>
          <w:szCs w:val="20"/>
          <w:lang w:val="uk-UA"/>
        </w:rPr>
      </w:pPr>
      <w:r w:rsidRPr="00F536EC">
        <w:rPr>
          <w:rFonts w:ascii="Times New Roman" w:hAnsi="Times New Roman" w:cs="Times New Roman"/>
          <w:sz w:val="20"/>
          <w:szCs w:val="20"/>
          <w:lang w:val="uk-UA"/>
        </w:rPr>
        <w:t xml:space="preserve">Джерело: * - </w:t>
      </w:r>
      <w:proofErr w:type="spellStart"/>
      <w:r w:rsidRPr="00F536EC">
        <w:rPr>
          <w:rFonts w:ascii="Times New Roman" w:hAnsi="Times New Roman" w:cs="Times New Roman"/>
          <w:sz w:val="20"/>
          <w:szCs w:val="20"/>
          <w:lang w:val="uk-UA"/>
        </w:rPr>
        <w:t>Vdovychenko</w:t>
      </w:r>
      <w:proofErr w:type="spellEnd"/>
      <w:r w:rsidRPr="00F536EC">
        <w:rPr>
          <w:rFonts w:ascii="Times New Roman" w:hAnsi="Times New Roman" w:cs="Times New Roman"/>
          <w:sz w:val="20"/>
          <w:szCs w:val="20"/>
          <w:lang w:val="uk-UA"/>
        </w:rPr>
        <w:t xml:space="preserve"> A. </w:t>
      </w:r>
      <w:hyperlink r:id="rId13" w:history="1">
        <w:proofErr w:type="spellStart"/>
        <w:r w:rsidRPr="00F536EC">
          <w:rPr>
            <w:rFonts w:ascii="Times New Roman" w:hAnsi="Times New Roman" w:cs="Times New Roman"/>
            <w:sz w:val="20"/>
            <w:szCs w:val="20"/>
            <w:lang w:val="uk-UA"/>
          </w:rPr>
          <w:t>Estimating</w:t>
        </w:r>
        <w:proofErr w:type="spellEnd"/>
        <w:r w:rsidRPr="00F536EC">
          <w:rPr>
            <w:rFonts w:ascii="Times New Roman" w:hAnsi="Times New Roman" w:cs="Times New Roman"/>
            <w:sz w:val="20"/>
            <w:szCs w:val="20"/>
            <w:lang w:val="uk-UA"/>
          </w:rPr>
          <w:t xml:space="preserve"> </w:t>
        </w:r>
        <w:proofErr w:type="spellStart"/>
        <w:r w:rsidRPr="00F536EC">
          <w:rPr>
            <w:rFonts w:ascii="Times New Roman" w:hAnsi="Times New Roman" w:cs="Times New Roman"/>
            <w:sz w:val="20"/>
            <w:szCs w:val="20"/>
            <w:lang w:val="uk-UA"/>
          </w:rPr>
          <w:t>the</w:t>
        </w:r>
        <w:proofErr w:type="spellEnd"/>
        <w:r w:rsidRPr="00F536EC">
          <w:rPr>
            <w:rFonts w:ascii="Times New Roman" w:hAnsi="Times New Roman" w:cs="Times New Roman"/>
            <w:sz w:val="20"/>
            <w:szCs w:val="20"/>
            <w:lang w:val="uk-UA"/>
          </w:rPr>
          <w:t xml:space="preserve"> </w:t>
        </w:r>
        <w:proofErr w:type="spellStart"/>
        <w:r w:rsidRPr="00F536EC">
          <w:rPr>
            <w:rFonts w:ascii="Times New Roman" w:hAnsi="Times New Roman" w:cs="Times New Roman"/>
            <w:sz w:val="20"/>
            <w:szCs w:val="20"/>
            <w:lang w:val="uk-UA"/>
          </w:rPr>
          <w:t>Fiscal</w:t>
        </w:r>
        <w:proofErr w:type="spellEnd"/>
        <w:r w:rsidRPr="00F536EC">
          <w:rPr>
            <w:rFonts w:ascii="Times New Roman" w:hAnsi="Times New Roman" w:cs="Times New Roman"/>
            <w:sz w:val="20"/>
            <w:szCs w:val="20"/>
            <w:lang w:val="uk-UA"/>
          </w:rPr>
          <w:t xml:space="preserve"> </w:t>
        </w:r>
        <w:proofErr w:type="spellStart"/>
        <w:r w:rsidRPr="00F536EC">
          <w:rPr>
            <w:rFonts w:ascii="Times New Roman" w:hAnsi="Times New Roman" w:cs="Times New Roman"/>
            <w:sz w:val="20"/>
            <w:szCs w:val="20"/>
            <w:lang w:val="uk-UA"/>
          </w:rPr>
          <w:t>Impulse</w:t>
        </w:r>
        <w:proofErr w:type="spellEnd"/>
        <w:r w:rsidRPr="00F536EC">
          <w:rPr>
            <w:rFonts w:ascii="Times New Roman" w:hAnsi="Times New Roman" w:cs="Times New Roman"/>
            <w:sz w:val="20"/>
            <w:szCs w:val="20"/>
            <w:lang w:val="uk-UA"/>
          </w:rPr>
          <w:t xml:space="preserve"> </w:t>
        </w:r>
        <w:proofErr w:type="spellStart"/>
        <w:r w:rsidRPr="00F536EC">
          <w:rPr>
            <w:rFonts w:ascii="Times New Roman" w:hAnsi="Times New Roman" w:cs="Times New Roman"/>
            <w:sz w:val="20"/>
            <w:szCs w:val="20"/>
            <w:lang w:val="uk-UA"/>
          </w:rPr>
          <w:t>in</w:t>
        </w:r>
        <w:proofErr w:type="spellEnd"/>
        <w:r w:rsidRPr="00F536EC">
          <w:rPr>
            <w:rFonts w:ascii="Times New Roman" w:hAnsi="Times New Roman" w:cs="Times New Roman"/>
            <w:sz w:val="20"/>
            <w:szCs w:val="20"/>
            <w:lang w:val="uk-UA"/>
          </w:rPr>
          <w:t xml:space="preserve"> </w:t>
        </w:r>
        <w:proofErr w:type="spellStart"/>
        <w:r w:rsidRPr="00F536EC">
          <w:rPr>
            <w:rFonts w:ascii="Times New Roman" w:hAnsi="Times New Roman" w:cs="Times New Roman"/>
            <w:sz w:val="20"/>
            <w:szCs w:val="20"/>
            <w:lang w:val="uk-UA"/>
          </w:rPr>
          <w:t>Ukraine</w:t>
        </w:r>
        <w:proofErr w:type="spellEnd"/>
      </w:hyperlink>
      <w:r w:rsidRPr="00F536EC">
        <w:rPr>
          <w:rFonts w:ascii="Times New Roman" w:hAnsi="Times New Roman" w:cs="Times New Roman"/>
          <w:sz w:val="20"/>
          <w:szCs w:val="20"/>
          <w:lang w:val="uk-UA"/>
        </w:rPr>
        <w:t xml:space="preserve"> </w:t>
      </w:r>
      <w:proofErr w:type="spellStart"/>
      <w:r w:rsidRPr="00F536EC">
        <w:rPr>
          <w:rFonts w:ascii="Times New Roman" w:hAnsi="Times New Roman" w:cs="Times New Roman"/>
          <w:sz w:val="20"/>
          <w:szCs w:val="20"/>
          <w:lang w:val="uk-UA"/>
        </w:rPr>
        <w:t>Visnyk</w:t>
      </w:r>
      <w:proofErr w:type="spellEnd"/>
      <w:r w:rsidRPr="00F536EC">
        <w:rPr>
          <w:rFonts w:ascii="Times New Roman" w:hAnsi="Times New Roman" w:cs="Times New Roman"/>
          <w:sz w:val="20"/>
          <w:szCs w:val="20"/>
          <w:lang w:val="uk-UA"/>
        </w:rPr>
        <w:t xml:space="preserve"> </w:t>
      </w:r>
      <w:proofErr w:type="spellStart"/>
      <w:r w:rsidRPr="00F536EC">
        <w:rPr>
          <w:rFonts w:ascii="Times New Roman" w:hAnsi="Times New Roman" w:cs="Times New Roman"/>
          <w:sz w:val="20"/>
          <w:szCs w:val="20"/>
          <w:lang w:val="uk-UA"/>
        </w:rPr>
        <w:t>of</w:t>
      </w:r>
      <w:proofErr w:type="spellEnd"/>
      <w:r w:rsidRPr="00F536EC">
        <w:rPr>
          <w:rFonts w:ascii="Times New Roman" w:hAnsi="Times New Roman" w:cs="Times New Roman"/>
          <w:sz w:val="20"/>
          <w:szCs w:val="20"/>
          <w:lang w:val="uk-UA"/>
        </w:rPr>
        <w:t xml:space="preserve"> </w:t>
      </w:r>
      <w:proofErr w:type="spellStart"/>
      <w:r w:rsidRPr="00F536EC">
        <w:rPr>
          <w:rFonts w:ascii="Times New Roman" w:hAnsi="Times New Roman" w:cs="Times New Roman"/>
          <w:sz w:val="20"/>
          <w:szCs w:val="20"/>
          <w:lang w:val="uk-UA"/>
        </w:rPr>
        <w:t>the</w:t>
      </w:r>
      <w:proofErr w:type="spellEnd"/>
      <w:r w:rsidRPr="00F536EC">
        <w:rPr>
          <w:rFonts w:ascii="Times New Roman" w:hAnsi="Times New Roman" w:cs="Times New Roman"/>
          <w:sz w:val="20"/>
          <w:szCs w:val="20"/>
          <w:lang w:val="uk-UA"/>
        </w:rPr>
        <w:t xml:space="preserve"> </w:t>
      </w:r>
      <w:proofErr w:type="spellStart"/>
      <w:r w:rsidRPr="00F536EC">
        <w:rPr>
          <w:rFonts w:ascii="Times New Roman" w:hAnsi="Times New Roman" w:cs="Times New Roman"/>
          <w:sz w:val="20"/>
          <w:szCs w:val="20"/>
          <w:lang w:val="uk-UA"/>
        </w:rPr>
        <w:t>National</w:t>
      </w:r>
      <w:proofErr w:type="spellEnd"/>
      <w:r w:rsidRPr="00F536EC">
        <w:rPr>
          <w:rFonts w:ascii="Times New Roman" w:hAnsi="Times New Roman" w:cs="Times New Roman"/>
          <w:sz w:val="20"/>
          <w:szCs w:val="20"/>
          <w:lang w:val="uk-UA"/>
        </w:rPr>
        <w:t xml:space="preserve"> </w:t>
      </w:r>
      <w:proofErr w:type="spellStart"/>
      <w:r w:rsidRPr="00F536EC">
        <w:rPr>
          <w:rFonts w:ascii="Times New Roman" w:hAnsi="Times New Roman" w:cs="Times New Roman"/>
          <w:sz w:val="20"/>
          <w:szCs w:val="20"/>
          <w:lang w:val="uk-UA"/>
        </w:rPr>
        <w:t>Bank</w:t>
      </w:r>
      <w:proofErr w:type="spellEnd"/>
      <w:r w:rsidRPr="00F536EC">
        <w:rPr>
          <w:rFonts w:ascii="Times New Roman" w:hAnsi="Times New Roman" w:cs="Times New Roman"/>
          <w:sz w:val="20"/>
          <w:szCs w:val="20"/>
          <w:lang w:val="uk-UA"/>
        </w:rPr>
        <w:t xml:space="preserve"> </w:t>
      </w:r>
      <w:proofErr w:type="spellStart"/>
      <w:r w:rsidRPr="00F536EC">
        <w:rPr>
          <w:rFonts w:ascii="Times New Roman" w:hAnsi="Times New Roman" w:cs="Times New Roman"/>
          <w:sz w:val="20"/>
          <w:szCs w:val="20"/>
          <w:lang w:val="uk-UA"/>
        </w:rPr>
        <w:t>of</w:t>
      </w:r>
      <w:proofErr w:type="spellEnd"/>
      <w:r w:rsidRPr="00F536EC">
        <w:rPr>
          <w:rFonts w:ascii="Times New Roman" w:hAnsi="Times New Roman" w:cs="Times New Roman"/>
          <w:sz w:val="20"/>
          <w:szCs w:val="20"/>
          <w:lang w:val="uk-UA"/>
        </w:rPr>
        <w:t xml:space="preserve"> </w:t>
      </w:r>
      <w:proofErr w:type="spellStart"/>
      <w:r w:rsidRPr="00F536EC">
        <w:rPr>
          <w:rFonts w:ascii="Times New Roman" w:hAnsi="Times New Roman" w:cs="Times New Roman"/>
          <w:sz w:val="20"/>
          <w:szCs w:val="20"/>
          <w:lang w:val="uk-UA"/>
        </w:rPr>
        <w:t>Ukraine</w:t>
      </w:r>
      <w:proofErr w:type="spellEnd"/>
      <w:r w:rsidRPr="00F536EC">
        <w:rPr>
          <w:rFonts w:ascii="Times New Roman" w:hAnsi="Times New Roman" w:cs="Times New Roman"/>
          <w:sz w:val="20"/>
          <w:szCs w:val="20"/>
          <w:lang w:val="uk-UA"/>
        </w:rPr>
        <w:t xml:space="preserve"> </w:t>
      </w:r>
      <w:proofErr w:type="spellStart"/>
      <w:r w:rsidRPr="00F536EC">
        <w:rPr>
          <w:rFonts w:ascii="Times New Roman" w:hAnsi="Times New Roman" w:cs="Times New Roman"/>
          <w:sz w:val="20"/>
          <w:szCs w:val="20"/>
          <w:lang w:val="uk-UA"/>
        </w:rPr>
        <w:t>No</w:t>
      </w:r>
      <w:proofErr w:type="spellEnd"/>
      <w:r w:rsidRPr="00F536EC">
        <w:rPr>
          <w:rFonts w:ascii="Times New Roman" w:hAnsi="Times New Roman" w:cs="Times New Roman"/>
          <w:sz w:val="20"/>
          <w:szCs w:val="20"/>
          <w:lang w:val="uk-UA"/>
        </w:rPr>
        <w:t>. 245 (2018)</w:t>
      </w:r>
    </w:p>
    <w:p w:rsidR="00B8517F" w:rsidRPr="00F536EC" w:rsidRDefault="00B8517F" w:rsidP="00B8517F">
      <w:pPr>
        <w:pStyle w:val="af1"/>
        <w:spacing w:after="120"/>
        <w:ind w:left="868"/>
        <w:jc w:val="both"/>
        <w:rPr>
          <w:rFonts w:ascii="Times New Roman" w:hAnsi="Times New Roman" w:cs="Times New Roman"/>
          <w:sz w:val="20"/>
          <w:szCs w:val="20"/>
          <w:lang w:val="uk-UA"/>
        </w:rPr>
      </w:pPr>
      <w:r w:rsidRPr="00F536EC">
        <w:rPr>
          <w:rFonts w:ascii="Times New Roman" w:hAnsi="Times New Roman" w:cs="Times New Roman"/>
          <w:sz w:val="20"/>
          <w:szCs w:val="20"/>
          <w:lang w:val="uk-UA"/>
        </w:rPr>
        <w:t xml:space="preserve">** -  </w:t>
      </w:r>
      <w:proofErr w:type="spellStart"/>
      <w:r w:rsidRPr="00F536EC">
        <w:rPr>
          <w:rFonts w:ascii="Times New Roman" w:hAnsi="Times New Roman" w:cs="Times New Roman"/>
          <w:sz w:val="20"/>
          <w:szCs w:val="20"/>
          <w:lang w:val="uk-UA"/>
        </w:rPr>
        <w:t>Girouard</w:t>
      </w:r>
      <w:proofErr w:type="spellEnd"/>
      <w:r w:rsidRPr="00F536EC">
        <w:rPr>
          <w:rFonts w:ascii="Times New Roman" w:hAnsi="Times New Roman" w:cs="Times New Roman"/>
          <w:sz w:val="20"/>
          <w:szCs w:val="20"/>
          <w:lang w:val="uk-UA"/>
        </w:rPr>
        <w:t xml:space="preserve"> N., </w:t>
      </w:r>
      <w:proofErr w:type="spellStart"/>
      <w:r w:rsidRPr="00F536EC">
        <w:rPr>
          <w:rFonts w:ascii="Times New Roman" w:hAnsi="Times New Roman" w:cs="Times New Roman"/>
          <w:sz w:val="20"/>
          <w:szCs w:val="20"/>
          <w:lang w:val="uk-UA"/>
        </w:rPr>
        <w:t>André</w:t>
      </w:r>
      <w:proofErr w:type="spellEnd"/>
      <w:r w:rsidRPr="00F536EC">
        <w:rPr>
          <w:rFonts w:ascii="Times New Roman" w:hAnsi="Times New Roman" w:cs="Times New Roman"/>
          <w:sz w:val="20"/>
          <w:szCs w:val="20"/>
          <w:lang w:val="uk-UA"/>
        </w:rPr>
        <w:t xml:space="preserve"> C. (2005). </w:t>
      </w:r>
      <w:proofErr w:type="spellStart"/>
      <w:r w:rsidRPr="00F536EC">
        <w:rPr>
          <w:rFonts w:ascii="Times New Roman" w:hAnsi="Times New Roman" w:cs="Times New Roman"/>
          <w:sz w:val="20"/>
          <w:szCs w:val="20"/>
          <w:lang w:val="uk-UA"/>
        </w:rPr>
        <w:t>Measuring</w:t>
      </w:r>
      <w:proofErr w:type="spellEnd"/>
      <w:r w:rsidRPr="00F536EC">
        <w:rPr>
          <w:rFonts w:ascii="Times New Roman" w:hAnsi="Times New Roman" w:cs="Times New Roman"/>
          <w:sz w:val="20"/>
          <w:szCs w:val="20"/>
          <w:lang w:val="uk-UA"/>
        </w:rPr>
        <w:t xml:space="preserve"> </w:t>
      </w:r>
      <w:proofErr w:type="spellStart"/>
      <w:r w:rsidRPr="00F536EC">
        <w:rPr>
          <w:rFonts w:ascii="Times New Roman" w:hAnsi="Times New Roman" w:cs="Times New Roman"/>
          <w:sz w:val="20"/>
          <w:szCs w:val="20"/>
          <w:lang w:val="uk-UA"/>
        </w:rPr>
        <w:t>Cyclicallyadjusted</w:t>
      </w:r>
      <w:proofErr w:type="spellEnd"/>
      <w:r w:rsidRPr="00F536EC">
        <w:rPr>
          <w:rFonts w:ascii="Times New Roman" w:hAnsi="Times New Roman" w:cs="Times New Roman"/>
          <w:sz w:val="20"/>
          <w:szCs w:val="20"/>
          <w:lang w:val="uk-UA"/>
        </w:rPr>
        <w:t xml:space="preserve"> </w:t>
      </w:r>
      <w:proofErr w:type="spellStart"/>
      <w:r w:rsidRPr="00F536EC">
        <w:rPr>
          <w:rFonts w:ascii="Times New Roman" w:hAnsi="Times New Roman" w:cs="Times New Roman"/>
          <w:sz w:val="20"/>
          <w:szCs w:val="20"/>
          <w:lang w:val="uk-UA"/>
        </w:rPr>
        <w:t>Budget</w:t>
      </w:r>
      <w:proofErr w:type="spellEnd"/>
      <w:r w:rsidRPr="00F536EC">
        <w:rPr>
          <w:rFonts w:ascii="Times New Roman" w:hAnsi="Times New Roman" w:cs="Times New Roman"/>
          <w:sz w:val="20"/>
          <w:szCs w:val="20"/>
          <w:lang w:val="uk-UA"/>
        </w:rPr>
        <w:t xml:space="preserve"> </w:t>
      </w:r>
      <w:proofErr w:type="spellStart"/>
      <w:r w:rsidRPr="00F536EC">
        <w:rPr>
          <w:rFonts w:ascii="Times New Roman" w:hAnsi="Times New Roman" w:cs="Times New Roman"/>
          <w:sz w:val="20"/>
          <w:szCs w:val="20"/>
          <w:lang w:val="uk-UA"/>
        </w:rPr>
        <w:t>Balances</w:t>
      </w:r>
      <w:proofErr w:type="spellEnd"/>
      <w:r w:rsidRPr="00F536EC">
        <w:rPr>
          <w:rFonts w:ascii="Times New Roman" w:hAnsi="Times New Roman" w:cs="Times New Roman"/>
          <w:sz w:val="20"/>
          <w:szCs w:val="20"/>
          <w:lang w:val="uk-UA"/>
        </w:rPr>
        <w:t xml:space="preserve"> </w:t>
      </w:r>
      <w:proofErr w:type="spellStart"/>
      <w:r w:rsidRPr="00F536EC">
        <w:rPr>
          <w:rFonts w:ascii="Times New Roman" w:hAnsi="Times New Roman" w:cs="Times New Roman"/>
          <w:sz w:val="20"/>
          <w:szCs w:val="20"/>
          <w:lang w:val="uk-UA"/>
        </w:rPr>
        <w:t>for</w:t>
      </w:r>
      <w:proofErr w:type="spellEnd"/>
      <w:r w:rsidRPr="00F536EC">
        <w:rPr>
          <w:rFonts w:ascii="Times New Roman" w:hAnsi="Times New Roman" w:cs="Times New Roman"/>
          <w:sz w:val="20"/>
          <w:szCs w:val="20"/>
          <w:lang w:val="uk-UA"/>
        </w:rPr>
        <w:t xml:space="preserve"> OECD </w:t>
      </w:r>
      <w:proofErr w:type="spellStart"/>
      <w:r w:rsidRPr="00F536EC">
        <w:rPr>
          <w:rFonts w:ascii="Times New Roman" w:hAnsi="Times New Roman" w:cs="Times New Roman"/>
          <w:sz w:val="20"/>
          <w:szCs w:val="20"/>
          <w:lang w:val="uk-UA"/>
        </w:rPr>
        <w:t>Countries</w:t>
      </w:r>
      <w:proofErr w:type="spellEnd"/>
      <w:r w:rsidRPr="00F536EC">
        <w:rPr>
          <w:rFonts w:ascii="Times New Roman" w:hAnsi="Times New Roman" w:cs="Times New Roman"/>
          <w:sz w:val="20"/>
          <w:szCs w:val="20"/>
          <w:lang w:val="uk-UA"/>
        </w:rPr>
        <w:t xml:space="preserve">. OECD </w:t>
      </w:r>
      <w:proofErr w:type="spellStart"/>
      <w:r w:rsidRPr="00F536EC">
        <w:rPr>
          <w:rFonts w:ascii="Times New Roman" w:hAnsi="Times New Roman" w:cs="Times New Roman"/>
          <w:sz w:val="20"/>
          <w:szCs w:val="20"/>
          <w:lang w:val="uk-UA"/>
        </w:rPr>
        <w:t>Economics</w:t>
      </w:r>
      <w:proofErr w:type="spellEnd"/>
      <w:r w:rsidRPr="00F536EC">
        <w:rPr>
          <w:rFonts w:ascii="Times New Roman" w:hAnsi="Times New Roman" w:cs="Times New Roman"/>
          <w:sz w:val="20"/>
          <w:szCs w:val="20"/>
          <w:lang w:val="uk-UA"/>
        </w:rPr>
        <w:t xml:space="preserve"> </w:t>
      </w:r>
      <w:proofErr w:type="spellStart"/>
      <w:r w:rsidRPr="00F536EC">
        <w:rPr>
          <w:rFonts w:ascii="Times New Roman" w:hAnsi="Times New Roman" w:cs="Times New Roman"/>
          <w:sz w:val="20"/>
          <w:szCs w:val="20"/>
          <w:lang w:val="uk-UA"/>
        </w:rPr>
        <w:t>Department</w:t>
      </w:r>
      <w:proofErr w:type="spellEnd"/>
      <w:r w:rsidRPr="00F536EC">
        <w:rPr>
          <w:rFonts w:ascii="Times New Roman" w:hAnsi="Times New Roman" w:cs="Times New Roman"/>
          <w:sz w:val="20"/>
          <w:szCs w:val="20"/>
          <w:lang w:val="uk-UA"/>
        </w:rPr>
        <w:t xml:space="preserve"> </w:t>
      </w:r>
      <w:proofErr w:type="spellStart"/>
      <w:r w:rsidRPr="00F536EC">
        <w:rPr>
          <w:rFonts w:ascii="Times New Roman" w:hAnsi="Times New Roman" w:cs="Times New Roman"/>
          <w:sz w:val="20"/>
          <w:szCs w:val="20"/>
          <w:lang w:val="uk-UA"/>
        </w:rPr>
        <w:t>Working</w:t>
      </w:r>
      <w:proofErr w:type="spellEnd"/>
      <w:r w:rsidRPr="00F536EC">
        <w:rPr>
          <w:rFonts w:ascii="Times New Roman" w:hAnsi="Times New Roman" w:cs="Times New Roman"/>
          <w:sz w:val="20"/>
          <w:szCs w:val="20"/>
          <w:lang w:val="uk-UA"/>
        </w:rPr>
        <w:t xml:space="preserve"> </w:t>
      </w:r>
      <w:proofErr w:type="spellStart"/>
      <w:r w:rsidRPr="00F536EC">
        <w:rPr>
          <w:rFonts w:ascii="Times New Roman" w:hAnsi="Times New Roman" w:cs="Times New Roman"/>
          <w:sz w:val="20"/>
          <w:szCs w:val="20"/>
          <w:lang w:val="uk-UA"/>
        </w:rPr>
        <w:t>Papers</w:t>
      </w:r>
      <w:proofErr w:type="spellEnd"/>
      <w:r w:rsidRPr="00F536EC">
        <w:rPr>
          <w:rFonts w:ascii="Times New Roman" w:hAnsi="Times New Roman" w:cs="Times New Roman"/>
          <w:sz w:val="20"/>
          <w:szCs w:val="20"/>
          <w:lang w:val="uk-UA"/>
        </w:rPr>
        <w:t xml:space="preserve">, </w:t>
      </w:r>
      <w:proofErr w:type="spellStart"/>
      <w:r w:rsidRPr="00F536EC">
        <w:rPr>
          <w:rFonts w:ascii="Times New Roman" w:hAnsi="Times New Roman" w:cs="Times New Roman"/>
          <w:sz w:val="20"/>
          <w:szCs w:val="20"/>
          <w:lang w:val="uk-UA"/>
        </w:rPr>
        <w:t>No</w:t>
      </w:r>
      <w:proofErr w:type="spellEnd"/>
      <w:r w:rsidRPr="00F536EC">
        <w:rPr>
          <w:rFonts w:ascii="Times New Roman" w:hAnsi="Times New Roman" w:cs="Times New Roman"/>
          <w:sz w:val="20"/>
          <w:szCs w:val="20"/>
          <w:lang w:val="uk-UA"/>
        </w:rPr>
        <w:t>. 434.</w:t>
      </w:r>
    </w:p>
    <w:p w:rsidR="00B8517F" w:rsidRPr="00B8517F" w:rsidRDefault="00B8517F" w:rsidP="00B8517F">
      <w:pPr>
        <w:pStyle w:val="af1"/>
        <w:spacing w:after="120"/>
        <w:ind w:firstLine="567"/>
        <w:jc w:val="both"/>
        <w:rPr>
          <w:rFonts w:ascii="Times New Roman" w:hAnsi="Times New Roman" w:cs="Times New Roman"/>
          <w:sz w:val="24"/>
          <w:szCs w:val="24"/>
          <w:lang w:val="uk-UA"/>
        </w:rPr>
      </w:pPr>
      <w:r w:rsidRPr="00F536EC">
        <w:rPr>
          <w:rFonts w:ascii="Times New Roman" w:hAnsi="Times New Roman" w:cs="Times New Roman"/>
          <w:sz w:val="24"/>
          <w:szCs w:val="24"/>
          <w:lang w:val="uk-UA"/>
        </w:rPr>
        <w:t xml:space="preserve">Оцінки впливу зміни реального ВВП на окремі агреговані бюджетні показники за кожним з шоків представлені у таблиці. Зазначена оцінка є попередньо-орієнтованим розрахунком впливу виключно зміни реального ВВП на дохідну частину </w:t>
      </w:r>
      <w:r w:rsidRPr="00E13C42">
        <w:rPr>
          <w:rFonts w:ascii="Times New Roman" w:hAnsi="Times New Roman" w:cs="Times New Roman"/>
          <w:sz w:val="24"/>
          <w:szCs w:val="24"/>
          <w:lang w:val="uk-UA"/>
        </w:rPr>
        <w:t xml:space="preserve">бюджету без врахування впливу інших </w:t>
      </w:r>
      <w:r w:rsidRPr="00B8517F">
        <w:rPr>
          <w:rFonts w:ascii="Times New Roman" w:hAnsi="Times New Roman" w:cs="Times New Roman"/>
          <w:sz w:val="24"/>
          <w:szCs w:val="24"/>
          <w:lang w:val="uk-UA"/>
        </w:rPr>
        <w:t>чинників,</w:t>
      </w:r>
      <w:r w:rsidRPr="00B8517F">
        <w:rPr>
          <w:rFonts w:ascii="Times New Roman" w:hAnsi="Times New Roman" w:cs="Times New Roman"/>
          <w:b/>
          <w:sz w:val="24"/>
          <w:szCs w:val="24"/>
          <w:lang w:val="uk-UA"/>
        </w:rPr>
        <w:t xml:space="preserve"> </w:t>
      </w:r>
      <w:r w:rsidRPr="00B8517F">
        <w:rPr>
          <w:rFonts w:ascii="Times New Roman" w:hAnsi="Times New Roman" w:cs="Times New Roman"/>
          <w:sz w:val="24"/>
          <w:szCs w:val="24"/>
          <w:lang w:val="uk-UA"/>
        </w:rPr>
        <w:t>виходячи із значення коефіцієнтів еластичності для кожного виду доходів за ВВП розрахованих для України за період 2004 – 2016 років.</w:t>
      </w:r>
    </w:p>
    <w:p w:rsidR="00B8517F" w:rsidRPr="00B8517F" w:rsidRDefault="00B8517F" w:rsidP="00B8517F">
      <w:pPr>
        <w:pStyle w:val="af1"/>
        <w:spacing w:after="120"/>
        <w:jc w:val="center"/>
        <w:rPr>
          <w:rFonts w:ascii="Times New Roman" w:hAnsi="Times New Roman" w:cs="Times New Roman"/>
          <w:b/>
          <w:sz w:val="24"/>
          <w:szCs w:val="24"/>
          <w:lang w:val="uk-UA"/>
        </w:rPr>
      </w:pPr>
      <w:r w:rsidRPr="00B8517F">
        <w:rPr>
          <w:rFonts w:ascii="Times New Roman" w:hAnsi="Times New Roman" w:cs="Times New Roman"/>
          <w:b/>
          <w:sz w:val="24"/>
          <w:szCs w:val="24"/>
          <w:lang w:val="uk-UA"/>
        </w:rPr>
        <w:t>Ефект зміни бюджетних показників у 2022 році у разі реалізації ризиків у макроекономічному середовищі (млрд гривень)*</w:t>
      </w:r>
    </w:p>
    <w:tbl>
      <w:tblPr>
        <w:tblStyle w:val="a3"/>
        <w:tblW w:w="9923" w:type="dxa"/>
        <w:tblInd w:w="-5" w:type="dxa"/>
        <w:tblLayout w:type="fixed"/>
        <w:tblLook w:val="04A0" w:firstRow="1" w:lastRow="0" w:firstColumn="1" w:lastColumn="0" w:noHBand="0" w:noVBand="1"/>
      </w:tblPr>
      <w:tblGrid>
        <w:gridCol w:w="1294"/>
        <w:gridCol w:w="1381"/>
        <w:gridCol w:w="1436"/>
        <w:gridCol w:w="1701"/>
        <w:gridCol w:w="1418"/>
        <w:gridCol w:w="1417"/>
        <w:gridCol w:w="1276"/>
      </w:tblGrid>
      <w:tr w:rsidR="00B8517F" w:rsidRPr="00B8517F" w:rsidTr="00FE1030">
        <w:trPr>
          <w:tblHeader/>
        </w:trPr>
        <w:tc>
          <w:tcPr>
            <w:tcW w:w="1294" w:type="dxa"/>
          </w:tcPr>
          <w:p w:rsidR="00B8517F" w:rsidRPr="00B8517F" w:rsidRDefault="00B8517F" w:rsidP="00FE1030">
            <w:pPr>
              <w:pStyle w:val="af1"/>
              <w:jc w:val="center"/>
              <w:rPr>
                <w:rFonts w:ascii="Times New Roman" w:hAnsi="Times New Roman" w:cs="Times New Roman"/>
                <w:sz w:val="20"/>
                <w:szCs w:val="20"/>
                <w:lang w:val="uk-UA"/>
              </w:rPr>
            </w:pPr>
            <w:r w:rsidRPr="00B8517F">
              <w:rPr>
                <w:rFonts w:ascii="Times New Roman" w:hAnsi="Times New Roman" w:cs="Times New Roman"/>
                <w:sz w:val="20"/>
                <w:szCs w:val="20"/>
                <w:lang w:val="uk-UA"/>
              </w:rPr>
              <w:t>Змінні</w:t>
            </w:r>
          </w:p>
        </w:tc>
        <w:tc>
          <w:tcPr>
            <w:tcW w:w="1381" w:type="dxa"/>
          </w:tcPr>
          <w:p w:rsidR="00B8517F" w:rsidRPr="00B8517F" w:rsidRDefault="00B8517F" w:rsidP="00FE1030">
            <w:pPr>
              <w:jc w:val="center"/>
              <w:rPr>
                <w:rFonts w:ascii="Times New Roman" w:eastAsia="Times New Roman" w:hAnsi="Times New Roman" w:cs="Times New Roman"/>
                <w:sz w:val="20"/>
                <w:szCs w:val="20"/>
              </w:rPr>
            </w:pPr>
            <w:r w:rsidRPr="00B8517F">
              <w:rPr>
                <w:rFonts w:ascii="Times New Roman" w:hAnsi="Times New Roman" w:cs="Times New Roman"/>
                <w:sz w:val="20"/>
                <w:szCs w:val="20"/>
              </w:rPr>
              <w:t>Посилення гібридних загроз національній економіці з боку Російської Федерації</w:t>
            </w:r>
          </w:p>
        </w:tc>
        <w:tc>
          <w:tcPr>
            <w:tcW w:w="1436" w:type="dxa"/>
          </w:tcPr>
          <w:p w:rsidR="00B8517F" w:rsidRPr="00B8517F" w:rsidRDefault="00B8517F" w:rsidP="00FE1030">
            <w:pPr>
              <w:jc w:val="center"/>
              <w:rPr>
                <w:rFonts w:ascii="Times New Roman" w:hAnsi="Times New Roman" w:cs="Times New Roman"/>
                <w:sz w:val="20"/>
                <w:szCs w:val="20"/>
              </w:rPr>
            </w:pPr>
            <w:r w:rsidRPr="00B8517F">
              <w:rPr>
                <w:rFonts w:ascii="Times New Roman" w:hAnsi="Times New Roman" w:cs="Times New Roman"/>
                <w:sz w:val="20"/>
                <w:szCs w:val="20"/>
              </w:rPr>
              <w:t>Вихід нерезидентів із ОВДП</w:t>
            </w:r>
          </w:p>
        </w:tc>
        <w:tc>
          <w:tcPr>
            <w:tcW w:w="1701" w:type="dxa"/>
          </w:tcPr>
          <w:p w:rsidR="00B8517F" w:rsidRPr="00B8517F" w:rsidRDefault="00B8517F" w:rsidP="00FE1030">
            <w:pPr>
              <w:jc w:val="center"/>
              <w:rPr>
                <w:rFonts w:ascii="Times New Roman" w:hAnsi="Times New Roman" w:cs="Times New Roman"/>
                <w:sz w:val="20"/>
                <w:szCs w:val="20"/>
              </w:rPr>
            </w:pPr>
            <w:r w:rsidRPr="00B8517F">
              <w:rPr>
                <w:rFonts w:ascii="Times New Roman" w:hAnsi="Times New Roman" w:cs="Times New Roman"/>
                <w:sz w:val="20"/>
                <w:szCs w:val="20"/>
              </w:rPr>
              <w:t>Згортання іноземними компаніями інвестиційних планів у зв’язку із низькими темпами реформування та високим рівнем корупції</w:t>
            </w:r>
          </w:p>
        </w:tc>
        <w:tc>
          <w:tcPr>
            <w:tcW w:w="1418" w:type="dxa"/>
          </w:tcPr>
          <w:p w:rsidR="00B8517F" w:rsidRPr="00B8517F" w:rsidRDefault="00B8517F" w:rsidP="00FE1030">
            <w:pPr>
              <w:jc w:val="center"/>
              <w:rPr>
                <w:rFonts w:ascii="Times New Roman" w:hAnsi="Times New Roman" w:cs="Times New Roman"/>
                <w:sz w:val="20"/>
                <w:szCs w:val="20"/>
              </w:rPr>
            </w:pPr>
            <w:r w:rsidRPr="00B8517F">
              <w:rPr>
                <w:rFonts w:ascii="Times New Roman" w:hAnsi="Times New Roman" w:cs="Times New Roman"/>
                <w:sz w:val="20"/>
                <w:szCs w:val="20"/>
              </w:rPr>
              <w:t>Збереження низької кредитної активності комерційних банків у реальному секторі</w:t>
            </w:r>
          </w:p>
        </w:tc>
        <w:tc>
          <w:tcPr>
            <w:tcW w:w="1417" w:type="dxa"/>
          </w:tcPr>
          <w:p w:rsidR="00B8517F" w:rsidRPr="00B8517F" w:rsidRDefault="00B8517F" w:rsidP="00FE1030">
            <w:pPr>
              <w:jc w:val="center"/>
              <w:rPr>
                <w:rFonts w:ascii="Times New Roman" w:hAnsi="Times New Roman" w:cs="Times New Roman"/>
                <w:sz w:val="20"/>
                <w:szCs w:val="20"/>
              </w:rPr>
            </w:pPr>
            <w:r w:rsidRPr="00B8517F">
              <w:rPr>
                <w:rFonts w:ascii="Times New Roman" w:hAnsi="Times New Roman" w:cs="Times New Roman"/>
                <w:sz w:val="20"/>
                <w:szCs w:val="20"/>
              </w:rPr>
              <w:t xml:space="preserve">Посилення </w:t>
            </w:r>
            <w:proofErr w:type="spellStart"/>
            <w:r w:rsidRPr="00B8517F">
              <w:rPr>
                <w:rFonts w:ascii="Times New Roman" w:hAnsi="Times New Roman" w:cs="Times New Roman"/>
                <w:sz w:val="20"/>
                <w:szCs w:val="20"/>
              </w:rPr>
              <w:t>неплатоспро</w:t>
            </w:r>
            <w:proofErr w:type="spellEnd"/>
            <w:r w:rsidRPr="00B8517F">
              <w:rPr>
                <w:rFonts w:ascii="Times New Roman" w:hAnsi="Times New Roman" w:cs="Times New Roman"/>
                <w:sz w:val="20"/>
                <w:szCs w:val="20"/>
              </w:rPr>
              <w:t>-можності суб’єктів економічної діяльності</w:t>
            </w:r>
          </w:p>
        </w:tc>
        <w:tc>
          <w:tcPr>
            <w:tcW w:w="1276" w:type="dxa"/>
          </w:tcPr>
          <w:p w:rsidR="00B8517F" w:rsidRPr="00B8517F" w:rsidRDefault="00B8517F" w:rsidP="00FE1030">
            <w:pPr>
              <w:jc w:val="center"/>
              <w:rPr>
                <w:rFonts w:ascii="Times New Roman" w:hAnsi="Times New Roman" w:cs="Times New Roman"/>
                <w:sz w:val="20"/>
                <w:szCs w:val="20"/>
              </w:rPr>
            </w:pPr>
            <w:r w:rsidRPr="00B8517F">
              <w:rPr>
                <w:rFonts w:ascii="Times New Roman" w:hAnsi="Times New Roman" w:cs="Times New Roman"/>
                <w:sz w:val="20"/>
                <w:szCs w:val="20"/>
              </w:rPr>
              <w:t>Отримання низького урожаю зернових культур</w:t>
            </w:r>
          </w:p>
        </w:tc>
      </w:tr>
      <w:tr w:rsidR="00B8517F" w:rsidRPr="00950C06" w:rsidTr="00FE1030">
        <w:trPr>
          <w:trHeight w:val="240"/>
        </w:trPr>
        <w:tc>
          <w:tcPr>
            <w:tcW w:w="1294" w:type="dxa"/>
          </w:tcPr>
          <w:p w:rsidR="00B8517F" w:rsidRPr="00950C06" w:rsidRDefault="00B8517F" w:rsidP="00FE1030">
            <w:pPr>
              <w:pStyle w:val="af1"/>
              <w:jc w:val="both"/>
              <w:rPr>
                <w:rFonts w:ascii="Times New Roman" w:hAnsi="Times New Roman" w:cs="Times New Roman"/>
                <w:sz w:val="20"/>
                <w:szCs w:val="20"/>
                <w:lang w:val="uk-UA"/>
              </w:rPr>
            </w:pPr>
            <w:r w:rsidRPr="00950C06">
              <w:rPr>
                <w:rFonts w:ascii="Times New Roman" w:hAnsi="Times New Roman" w:cs="Times New Roman"/>
                <w:sz w:val="20"/>
                <w:szCs w:val="20"/>
                <w:lang w:val="uk-UA"/>
              </w:rPr>
              <w:t>Доходи бюджету</w:t>
            </w:r>
          </w:p>
        </w:tc>
        <w:tc>
          <w:tcPr>
            <w:tcW w:w="1381" w:type="dxa"/>
            <w:vAlign w:val="center"/>
          </w:tcPr>
          <w:p w:rsidR="00B8517F" w:rsidRPr="00950C06" w:rsidRDefault="00B8517F" w:rsidP="00FE1030">
            <w:pPr>
              <w:jc w:val="center"/>
              <w:rPr>
                <w:rFonts w:ascii="Times New Roman" w:eastAsia="Times New Roman" w:hAnsi="Times New Roman" w:cs="Times New Roman"/>
                <w:color w:val="000000"/>
                <w:sz w:val="20"/>
                <w:szCs w:val="20"/>
              </w:rPr>
            </w:pPr>
            <w:r w:rsidRPr="00950C06">
              <w:rPr>
                <w:rFonts w:ascii="Times New Roman" w:hAnsi="Times New Roman" w:cs="Times New Roman"/>
                <w:color w:val="000000"/>
                <w:sz w:val="20"/>
                <w:szCs w:val="20"/>
              </w:rPr>
              <w:t>-2,4</w:t>
            </w:r>
          </w:p>
        </w:tc>
        <w:tc>
          <w:tcPr>
            <w:tcW w:w="1436" w:type="dxa"/>
            <w:vAlign w:val="center"/>
          </w:tcPr>
          <w:p w:rsidR="00B8517F" w:rsidRPr="00950C06" w:rsidRDefault="00B8517F" w:rsidP="00FE1030">
            <w:pPr>
              <w:jc w:val="center"/>
              <w:rPr>
                <w:rFonts w:ascii="Times New Roman" w:hAnsi="Times New Roman" w:cs="Times New Roman"/>
                <w:color w:val="000000"/>
                <w:sz w:val="20"/>
                <w:szCs w:val="20"/>
              </w:rPr>
            </w:pPr>
            <w:r w:rsidRPr="00950C06">
              <w:rPr>
                <w:rFonts w:ascii="Times New Roman" w:hAnsi="Times New Roman" w:cs="Times New Roman"/>
                <w:color w:val="000000"/>
                <w:sz w:val="20"/>
                <w:szCs w:val="20"/>
              </w:rPr>
              <w:t>-1,2</w:t>
            </w:r>
          </w:p>
        </w:tc>
        <w:tc>
          <w:tcPr>
            <w:tcW w:w="1701" w:type="dxa"/>
            <w:vAlign w:val="center"/>
          </w:tcPr>
          <w:p w:rsidR="00B8517F" w:rsidRPr="00950C06" w:rsidRDefault="00B8517F" w:rsidP="00FE1030">
            <w:pPr>
              <w:jc w:val="center"/>
              <w:rPr>
                <w:rFonts w:ascii="Times New Roman" w:hAnsi="Times New Roman" w:cs="Times New Roman"/>
                <w:color w:val="000000"/>
                <w:sz w:val="20"/>
                <w:szCs w:val="20"/>
              </w:rPr>
            </w:pPr>
            <w:r w:rsidRPr="00950C06">
              <w:rPr>
                <w:rFonts w:ascii="Times New Roman" w:hAnsi="Times New Roman" w:cs="Times New Roman"/>
                <w:color w:val="000000"/>
                <w:sz w:val="20"/>
                <w:szCs w:val="20"/>
              </w:rPr>
              <w:t>-8,5</w:t>
            </w:r>
          </w:p>
        </w:tc>
        <w:tc>
          <w:tcPr>
            <w:tcW w:w="1418" w:type="dxa"/>
            <w:vAlign w:val="center"/>
          </w:tcPr>
          <w:p w:rsidR="00B8517F" w:rsidRPr="00950C06" w:rsidRDefault="00B8517F" w:rsidP="00FE1030">
            <w:pPr>
              <w:jc w:val="center"/>
              <w:rPr>
                <w:rFonts w:ascii="Times New Roman" w:hAnsi="Times New Roman" w:cs="Times New Roman"/>
                <w:color w:val="000000"/>
                <w:sz w:val="20"/>
                <w:szCs w:val="20"/>
              </w:rPr>
            </w:pPr>
            <w:r w:rsidRPr="00950C06">
              <w:rPr>
                <w:rFonts w:ascii="Times New Roman" w:hAnsi="Times New Roman" w:cs="Times New Roman"/>
                <w:color w:val="000000"/>
                <w:sz w:val="20"/>
                <w:szCs w:val="20"/>
              </w:rPr>
              <w:t>-1,2</w:t>
            </w:r>
          </w:p>
        </w:tc>
        <w:tc>
          <w:tcPr>
            <w:tcW w:w="1417" w:type="dxa"/>
            <w:vAlign w:val="center"/>
          </w:tcPr>
          <w:p w:rsidR="00B8517F" w:rsidRPr="00950C06" w:rsidRDefault="00B8517F" w:rsidP="00FE1030">
            <w:pPr>
              <w:jc w:val="center"/>
              <w:rPr>
                <w:rFonts w:ascii="Times New Roman" w:hAnsi="Times New Roman" w:cs="Times New Roman"/>
                <w:color w:val="000000"/>
                <w:sz w:val="20"/>
                <w:szCs w:val="20"/>
              </w:rPr>
            </w:pPr>
            <w:r w:rsidRPr="00950C06">
              <w:rPr>
                <w:rFonts w:ascii="Times New Roman" w:hAnsi="Times New Roman" w:cs="Times New Roman"/>
                <w:color w:val="000000"/>
                <w:sz w:val="20"/>
                <w:szCs w:val="20"/>
              </w:rPr>
              <w:t>-1,1</w:t>
            </w:r>
          </w:p>
        </w:tc>
        <w:tc>
          <w:tcPr>
            <w:tcW w:w="1276" w:type="dxa"/>
            <w:vAlign w:val="center"/>
          </w:tcPr>
          <w:p w:rsidR="00B8517F" w:rsidRPr="00950C06" w:rsidRDefault="00B8517F" w:rsidP="00FE1030">
            <w:pPr>
              <w:jc w:val="center"/>
              <w:rPr>
                <w:rFonts w:ascii="Times New Roman" w:hAnsi="Times New Roman" w:cs="Times New Roman"/>
                <w:color w:val="000000"/>
                <w:sz w:val="20"/>
                <w:szCs w:val="20"/>
              </w:rPr>
            </w:pPr>
            <w:r w:rsidRPr="00950C06">
              <w:rPr>
                <w:rFonts w:ascii="Times New Roman" w:hAnsi="Times New Roman" w:cs="Times New Roman"/>
                <w:color w:val="000000"/>
                <w:sz w:val="20"/>
                <w:szCs w:val="20"/>
              </w:rPr>
              <w:t>-8,5</w:t>
            </w:r>
          </w:p>
        </w:tc>
      </w:tr>
      <w:tr w:rsidR="00B8517F" w:rsidRPr="00950C06" w:rsidTr="00FE1030">
        <w:trPr>
          <w:trHeight w:val="240"/>
        </w:trPr>
        <w:tc>
          <w:tcPr>
            <w:tcW w:w="1294" w:type="dxa"/>
          </w:tcPr>
          <w:p w:rsidR="00B8517F" w:rsidRPr="00950C06" w:rsidRDefault="00B8517F" w:rsidP="00FE1030">
            <w:pPr>
              <w:pStyle w:val="af1"/>
              <w:ind w:right="-107"/>
              <w:jc w:val="both"/>
              <w:rPr>
                <w:rFonts w:ascii="Times New Roman" w:hAnsi="Times New Roman" w:cs="Times New Roman"/>
                <w:sz w:val="20"/>
                <w:szCs w:val="20"/>
                <w:lang w:val="uk-UA"/>
              </w:rPr>
            </w:pPr>
            <w:r w:rsidRPr="00950C06">
              <w:rPr>
                <w:rFonts w:ascii="Times New Roman" w:hAnsi="Times New Roman" w:cs="Times New Roman"/>
                <w:sz w:val="20"/>
                <w:szCs w:val="20"/>
                <w:lang w:val="uk-UA"/>
              </w:rPr>
              <w:t>ПДФО</w:t>
            </w:r>
          </w:p>
        </w:tc>
        <w:tc>
          <w:tcPr>
            <w:tcW w:w="1381" w:type="dxa"/>
            <w:vAlign w:val="center"/>
          </w:tcPr>
          <w:p w:rsidR="00B8517F" w:rsidRPr="00950C06" w:rsidRDefault="00B8517F" w:rsidP="00FE1030">
            <w:pPr>
              <w:jc w:val="center"/>
              <w:rPr>
                <w:rFonts w:ascii="Times New Roman" w:eastAsia="Times New Roman" w:hAnsi="Times New Roman" w:cs="Times New Roman"/>
                <w:color w:val="000000"/>
                <w:sz w:val="20"/>
                <w:szCs w:val="20"/>
              </w:rPr>
            </w:pPr>
            <w:r w:rsidRPr="00950C06">
              <w:rPr>
                <w:rFonts w:ascii="Times New Roman" w:hAnsi="Times New Roman" w:cs="Times New Roman"/>
                <w:color w:val="000000"/>
                <w:sz w:val="20"/>
                <w:szCs w:val="20"/>
              </w:rPr>
              <w:t>-0,6</w:t>
            </w:r>
          </w:p>
        </w:tc>
        <w:tc>
          <w:tcPr>
            <w:tcW w:w="1436" w:type="dxa"/>
            <w:vAlign w:val="center"/>
          </w:tcPr>
          <w:p w:rsidR="00B8517F" w:rsidRPr="00950C06" w:rsidRDefault="00B8517F" w:rsidP="00FE1030">
            <w:pPr>
              <w:jc w:val="center"/>
              <w:rPr>
                <w:rFonts w:ascii="Times New Roman" w:hAnsi="Times New Roman" w:cs="Times New Roman"/>
                <w:color w:val="000000"/>
                <w:sz w:val="20"/>
                <w:szCs w:val="20"/>
              </w:rPr>
            </w:pPr>
            <w:r w:rsidRPr="00950C06">
              <w:rPr>
                <w:rFonts w:ascii="Times New Roman" w:hAnsi="Times New Roman" w:cs="Times New Roman"/>
                <w:color w:val="000000"/>
                <w:sz w:val="20"/>
                <w:szCs w:val="20"/>
              </w:rPr>
              <w:t>-0,3</w:t>
            </w:r>
          </w:p>
        </w:tc>
        <w:tc>
          <w:tcPr>
            <w:tcW w:w="1701" w:type="dxa"/>
            <w:vAlign w:val="center"/>
          </w:tcPr>
          <w:p w:rsidR="00B8517F" w:rsidRPr="00950C06" w:rsidRDefault="00B8517F" w:rsidP="00FE1030">
            <w:pPr>
              <w:jc w:val="center"/>
              <w:rPr>
                <w:rFonts w:ascii="Times New Roman" w:hAnsi="Times New Roman" w:cs="Times New Roman"/>
                <w:color w:val="000000"/>
                <w:sz w:val="20"/>
                <w:szCs w:val="20"/>
              </w:rPr>
            </w:pPr>
            <w:r w:rsidRPr="00950C06">
              <w:rPr>
                <w:rFonts w:ascii="Times New Roman" w:hAnsi="Times New Roman" w:cs="Times New Roman"/>
                <w:color w:val="000000"/>
                <w:sz w:val="20"/>
                <w:szCs w:val="20"/>
              </w:rPr>
              <w:t>-2,0</w:t>
            </w:r>
          </w:p>
        </w:tc>
        <w:tc>
          <w:tcPr>
            <w:tcW w:w="1418" w:type="dxa"/>
            <w:vAlign w:val="center"/>
          </w:tcPr>
          <w:p w:rsidR="00B8517F" w:rsidRPr="00950C06" w:rsidRDefault="00B8517F" w:rsidP="00FE1030">
            <w:pPr>
              <w:jc w:val="center"/>
              <w:rPr>
                <w:rFonts w:ascii="Times New Roman" w:hAnsi="Times New Roman" w:cs="Times New Roman"/>
                <w:color w:val="000000"/>
                <w:sz w:val="20"/>
                <w:szCs w:val="20"/>
              </w:rPr>
            </w:pPr>
            <w:r w:rsidRPr="00950C06">
              <w:rPr>
                <w:rFonts w:ascii="Times New Roman" w:hAnsi="Times New Roman" w:cs="Times New Roman"/>
                <w:color w:val="000000"/>
                <w:sz w:val="20"/>
                <w:szCs w:val="20"/>
              </w:rPr>
              <w:t>-0,3</w:t>
            </w:r>
          </w:p>
        </w:tc>
        <w:tc>
          <w:tcPr>
            <w:tcW w:w="1417" w:type="dxa"/>
            <w:vAlign w:val="center"/>
          </w:tcPr>
          <w:p w:rsidR="00B8517F" w:rsidRPr="00950C06" w:rsidRDefault="00B8517F" w:rsidP="00FE1030">
            <w:pPr>
              <w:jc w:val="center"/>
              <w:rPr>
                <w:rFonts w:ascii="Times New Roman" w:hAnsi="Times New Roman" w:cs="Times New Roman"/>
                <w:color w:val="000000"/>
                <w:sz w:val="20"/>
                <w:szCs w:val="20"/>
              </w:rPr>
            </w:pPr>
            <w:r w:rsidRPr="00950C06">
              <w:rPr>
                <w:rFonts w:ascii="Times New Roman" w:hAnsi="Times New Roman" w:cs="Times New Roman"/>
                <w:color w:val="000000"/>
                <w:sz w:val="20"/>
                <w:szCs w:val="20"/>
              </w:rPr>
              <w:t>-0,2</w:t>
            </w:r>
          </w:p>
        </w:tc>
        <w:tc>
          <w:tcPr>
            <w:tcW w:w="1276" w:type="dxa"/>
            <w:vAlign w:val="center"/>
          </w:tcPr>
          <w:p w:rsidR="00B8517F" w:rsidRPr="00950C06" w:rsidRDefault="00B8517F" w:rsidP="00FE1030">
            <w:pPr>
              <w:jc w:val="center"/>
              <w:rPr>
                <w:rFonts w:ascii="Times New Roman" w:hAnsi="Times New Roman" w:cs="Times New Roman"/>
                <w:color w:val="000000"/>
                <w:sz w:val="20"/>
                <w:szCs w:val="20"/>
              </w:rPr>
            </w:pPr>
            <w:r w:rsidRPr="00950C06">
              <w:rPr>
                <w:rFonts w:ascii="Times New Roman" w:hAnsi="Times New Roman" w:cs="Times New Roman"/>
                <w:color w:val="000000"/>
                <w:sz w:val="20"/>
                <w:szCs w:val="20"/>
              </w:rPr>
              <w:t>-2,0</w:t>
            </w:r>
          </w:p>
        </w:tc>
      </w:tr>
      <w:tr w:rsidR="00B8517F" w:rsidRPr="00950C06" w:rsidTr="00FE1030">
        <w:trPr>
          <w:trHeight w:val="240"/>
        </w:trPr>
        <w:tc>
          <w:tcPr>
            <w:tcW w:w="1294" w:type="dxa"/>
          </w:tcPr>
          <w:p w:rsidR="00B8517F" w:rsidRPr="00950C06" w:rsidRDefault="00B8517F" w:rsidP="00FE1030">
            <w:pPr>
              <w:pStyle w:val="af1"/>
              <w:jc w:val="both"/>
              <w:rPr>
                <w:rFonts w:ascii="Times New Roman" w:hAnsi="Times New Roman" w:cs="Times New Roman"/>
                <w:sz w:val="20"/>
                <w:szCs w:val="20"/>
                <w:lang w:val="uk-UA"/>
              </w:rPr>
            </w:pPr>
            <w:r w:rsidRPr="00950C06">
              <w:rPr>
                <w:rFonts w:ascii="Times New Roman" w:hAnsi="Times New Roman" w:cs="Times New Roman"/>
                <w:sz w:val="20"/>
                <w:szCs w:val="20"/>
                <w:lang w:val="uk-UA"/>
              </w:rPr>
              <w:t>ПДВ на імпорт</w:t>
            </w:r>
          </w:p>
        </w:tc>
        <w:tc>
          <w:tcPr>
            <w:tcW w:w="1381" w:type="dxa"/>
            <w:vAlign w:val="center"/>
          </w:tcPr>
          <w:p w:rsidR="00B8517F" w:rsidRPr="00950C06" w:rsidRDefault="00B8517F" w:rsidP="00FE1030">
            <w:pPr>
              <w:jc w:val="center"/>
              <w:rPr>
                <w:rFonts w:ascii="Times New Roman" w:eastAsia="Times New Roman" w:hAnsi="Times New Roman" w:cs="Times New Roman"/>
                <w:color w:val="000000"/>
                <w:sz w:val="20"/>
                <w:szCs w:val="20"/>
              </w:rPr>
            </w:pPr>
            <w:r w:rsidRPr="00950C06">
              <w:rPr>
                <w:rFonts w:ascii="Times New Roman" w:hAnsi="Times New Roman" w:cs="Times New Roman"/>
                <w:color w:val="000000"/>
                <w:sz w:val="20"/>
                <w:szCs w:val="20"/>
              </w:rPr>
              <w:t>-0,9</w:t>
            </w:r>
          </w:p>
        </w:tc>
        <w:tc>
          <w:tcPr>
            <w:tcW w:w="1436" w:type="dxa"/>
            <w:vAlign w:val="center"/>
          </w:tcPr>
          <w:p w:rsidR="00B8517F" w:rsidRPr="00950C06" w:rsidRDefault="00B8517F" w:rsidP="00FE1030">
            <w:pPr>
              <w:jc w:val="center"/>
              <w:rPr>
                <w:rFonts w:ascii="Times New Roman" w:hAnsi="Times New Roman" w:cs="Times New Roman"/>
                <w:color w:val="000000"/>
                <w:sz w:val="20"/>
                <w:szCs w:val="20"/>
              </w:rPr>
            </w:pPr>
            <w:r w:rsidRPr="00950C06">
              <w:rPr>
                <w:rFonts w:ascii="Times New Roman" w:hAnsi="Times New Roman" w:cs="Times New Roman"/>
                <w:color w:val="000000"/>
                <w:sz w:val="20"/>
                <w:szCs w:val="20"/>
              </w:rPr>
              <w:t>-0,5</w:t>
            </w:r>
          </w:p>
        </w:tc>
        <w:tc>
          <w:tcPr>
            <w:tcW w:w="1701" w:type="dxa"/>
            <w:vAlign w:val="center"/>
          </w:tcPr>
          <w:p w:rsidR="00B8517F" w:rsidRPr="00950C06" w:rsidRDefault="00B8517F" w:rsidP="00FE1030">
            <w:pPr>
              <w:jc w:val="center"/>
              <w:rPr>
                <w:rFonts w:ascii="Times New Roman" w:hAnsi="Times New Roman" w:cs="Times New Roman"/>
                <w:color w:val="000000"/>
                <w:sz w:val="20"/>
                <w:szCs w:val="20"/>
              </w:rPr>
            </w:pPr>
            <w:r w:rsidRPr="00950C06">
              <w:rPr>
                <w:rFonts w:ascii="Times New Roman" w:hAnsi="Times New Roman" w:cs="Times New Roman"/>
                <w:color w:val="000000"/>
                <w:sz w:val="20"/>
                <w:szCs w:val="20"/>
              </w:rPr>
              <w:t>-3,3</w:t>
            </w:r>
          </w:p>
        </w:tc>
        <w:tc>
          <w:tcPr>
            <w:tcW w:w="1418" w:type="dxa"/>
            <w:vAlign w:val="center"/>
          </w:tcPr>
          <w:p w:rsidR="00B8517F" w:rsidRPr="00950C06" w:rsidRDefault="00B8517F" w:rsidP="00FE1030">
            <w:pPr>
              <w:jc w:val="center"/>
              <w:rPr>
                <w:rFonts w:ascii="Times New Roman" w:hAnsi="Times New Roman" w:cs="Times New Roman"/>
                <w:color w:val="000000"/>
                <w:sz w:val="20"/>
                <w:szCs w:val="20"/>
              </w:rPr>
            </w:pPr>
            <w:r w:rsidRPr="00950C06">
              <w:rPr>
                <w:rFonts w:ascii="Times New Roman" w:hAnsi="Times New Roman" w:cs="Times New Roman"/>
                <w:color w:val="000000"/>
                <w:sz w:val="20"/>
                <w:szCs w:val="20"/>
              </w:rPr>
              <w:t>-0,5</w:t>
            </w:r>
          </w:p>
        </w:tc>
        <w:tc>
          <w:tcPr>
            <w:tcW w:w="1417" w:type="dxa"/>
            <w:vAlign w:val="center"/>
          </w:tcPr>
          <w:p w:rsidR="00B8517F" w:rsidRPr="00950C06" w:rsidRDefault="00B8517F" w:rsidP="00FE1030">
            <w:pPr>
              <w:jc w:val="center"/>
              <w:rPr>
                <w:rFonts w:ascii="Times New Roman" w:hAnsi="Times New Roman" w:cs="Times New Roman"/>
                <w:color w:val="000000"/>
                <w:sz w:val="20"/>
                <w:szCs w:val="20"/>
              </w:rPr>
            </w:pPr>
            <w:r w:rsidRPr="00950C06">
              <w:rPr>
                <w:rFonts w:ascii="Times New Roman" w:hAnsi="Times New Roman" w:cs="Times New Roman"/>
                <w:color w:val="000000"/>
                <w:sz w:val="20"/>
                <w:szCs w:val="20"/>
              </w:rPr>
              <w:t>-1,1</w:t>
            </w:r>
          </w:p>
        </w:tc>
        <w:tc>
          <w:tcPr>
            <w:tcW w:w="1276" w:type="dxa"/>
            <w:vAlign w:val="center"/>
          </w:tcPr>
          <w:p w:rsidR="00B8517F" w:rsidRPr="00950C06" w:rsidRDefault="00B8517F" w:rsidP="00FE1030">
            <w:pPr>
              <w:jc w:val="center"/>
              <w:rPr>
                <w:rFonts w:ascii="Times New Roman" w:hAnsi="Times New Roman" w:cs="Times New Roman"/>
                <w:color w:val="000000"/>
                <w:sz w:val="20"/>
                <w:szCs w:val="20"/>
              </w:rPr>
            </w:pPr>
            <w:r w:rsidRPr="00950C06">
              <w:rPr>
                <w:rFonts w:ascii="Times New Roman" w:hAnsi="Times New Roman" w:cs="Times New Roman"/>
                <w:color w:val="000000"/>
                <w:sz w:val="20"/>
                <w:szCs w:val="20"/>
              </w:rPr>
              <w:t>-3,3</w:t>
            </w:r>
          </w:p>
        </w:tc>
      </w:tr>
      <w:tr w:rsidR="00B8517F" w:rsidRPr="00950C06" w:rsidTr="00FE1030">
        <w:trPr>
          <w:trHeight w:val="240"/>
        </w:trPr>
        <w:tc>
          <w:tcPr>
            <w:tcW w:w="1294" w:type="dxa"/>
          </w:tcPr>
          <w:p w:rsidR="00B8517F" w:rsidRPr="00950C06" w:rsidRDefault="00B8517F" w:rsidP="00FE1030">
            <w:pPr>
              <w:pStyle w:val="af1"/>
              <w:jc w:val="both"/>
              <w:rPr>
                <w:rFonts w:ascii="Times New Roman" w:hAnsi="Times New Roman" w:cs="Times New Roman"/>
                <w:sz w:val="20"/>
                <w:szCs w:val="20"/>
                <w:lang w:val="uk-UA"/>
              </w:rPr>
            </w:pPr>
            <w:r w:rsidRPr="00950C06">
              <w:rPr>
                <w:rFonts w:ascii="Times New Roman" w:hAnsi="Times New Roman" w:cs="Times New Roman"/>
                <w:sz w:val="20"/>
                <w:szCs w:val="20"/>
                <w:lang w:val="uk-UA"/>
              </w:rPr>
              <w:t>Податок на прибуток підприємств</w:t>
            </w:r>
          </w:p>
        </w:tc>
        <w:tc>
          <w:tcPr>
            <w:tcW w:w="1381" w:type="dxa"/>
            <w:shd w:val="clear" w:color="auto" w:fill="auto"/>
            <w:vAlign w:val="center"/>
          </w:tcPr>
          <w:p w:rsidR="00B8517F" w:rsidRPr="00950C06" w:rsidRDefault="00B8517F" w:rsidP="00FE1030">
            <w:pPr>
              <w:jc w:val="center"/>
              <w:rPr>
                <w:rFonts w:ascii="Times New Roman" w:eastAsia="Times New Roman" w:hAnsi="Times New Roman" w:cs="Times New Roman"/>
                <w:color w:val="000000"/>
                <w:sz w:val="20"/>
                <w:szCs w:val="20"/>
              </w:rPr>
            </w:pPr>
            <w:r w:rsidRPr="00950C06">
              <w:rPr>
                <w:rFonts w:ascii="Times New Roman" w:hAnsi="Times New Roman" w:cs="Times New Roman"/>
                <w:color w:val="000000"/>
                <w:sz w:val="20"/>
                <w:szCs w:val="20"/>
              </w:rPr>
              <w:t>-0,5</w:t>
            </w:r>
          </w:p>
        </w:tc>
        <w:tc>
          <w:tcPr>
            <w:tcW w:w="1436" w:type="dxa"/>
            <w:shd w:val="clear" w:color="auto" w:fill="auto"/>
            <w:vAlign w:val="center"/>
          </w:tcPr>
          <w:p w:rsidR="00B8517F" w:rsidRPr="00950C06" w:rsidRDefault="00B8517F" w:rsidP="00FE1030">
            <w:pPr>
              <w:jc w:val="center"/>
              <w:rPr>
                <w:rFonts w:ascii="Times New Roman" w:hAnsi="Times New Roman" w:cs="Times New Roman"/>
                <w:color w:val="000000"/>
                <w:sz w:val="20"/>
                <w:szCs w:val="20"/>
              </w:rPr>
            </w:pPr>
            <w:r w:rsidRPr="00950C06">
              <w:rPr>
                <w:rFonts w:ascii="Times New Roman" w:hAnsi="Times New Roman" w:cs="Times New Roman"/>
                <w:color w:val="000000"/>
                <w:sz w:val="20"/>
                <w:szCs w:val="20"/>
              </w:rPr>
              <w:t>-0,2</w:t>
            </w:r>
          </w:p>
        </w:tc>
        <w:tc>
          <w:tcPr>
            <w:tcW w:w="1701" w:type="dxa"/>
            <w:shd w:val="clear" w:color="auto" w:fill="auto"/>
            <w:vAlign w:val="center"/>
          </w:tcPr>
          <w:p w:rsidR="00B8517F" w:rsidRPr="00950C06" w:rsidRDefault="00B8517F" w:rsidP="00FE1030">
            <w:pPr>
              <w:jc w:val="center"/>
              <w:rPr>
                <w:rFonts w:ascii="Times New Roman" w:hAnsi="Times New Roman" w:cs="Times New Roman"/>
                <w:color w:val="000000"/>
                <w:sz w:val="20"/>
                <w:szCs w:val="20"/>
              </w:rPr>
            </w:pPr>
            <w:r w:rsidRPr="00950C06">
              <w:rPr>
                <w:rFonts w:ascii="Times New Roman" w:hAnsi="Times New Roman" w:cs="Times New Roman"/>
                <w:color w:val="000000"/>
                <w:sz w:val="20"/>
                <w:szCs w:val="20"/>
              </w:rPr>
              <w:t>-1,6</w:t>
            </w:r>
          </w:p>
        </w:tc>
        <w:tc>
          <w:tcPr>
            <w:tcW w:w="1418" w:type="dxa"/>
            <w:shd w:val="clear" w:color="auto" w:fill="auto"/>
            <w:vAlign w:val="center"/>
          </w:tcPr>
          <w:p w:rsidR="00B8517F" w:rsidRPr="00950C06" w:rsidRDefault="00B8517F" w:rsidP="00FE1030">
            <w:pPr>
              <w:jc w:val="center"/>
              <w:rPr>
                <w:rFonts w:ascii="Times New Roman" w:hAnsi="Times New Roman" w:cs="Times New Roman"/>
                <w:color w:val="000000"/>
                <w:sz w:val="20"/>
                <w:szCs w:val="20"/>
              </w:rPr>
            </w:pPr>
            <w:r w:rsidRPr="00950C06">
              <w:rPr>
                <w:rFonts w:ascii="Times New Roman" w:hAnsi="Times New Roman" w:cs="Times New Roman"/>
                <w:color w:val="000000"/>
                <w:sz w:val="20"/>
                <w:szCs w:val="20"/>
              </w:rPr>
              <w:t>-0,2</w:t>
            </w:r>
          </w:p>
        </w:tc>
        <w:tc>
          <w:tcPr>
            <w:tcW w:w="1417" w:type="dxa"/>
            <w:shd w:val="clear" w:color="auto" w:fill="auto"/>
            <w:vAlign w:val="center"/>
          </w:tcPr>
          <w:p w:rsidR="00B8517F" w:rsidRPr="00950C06" w:rsidRDefault="00B8517F" w:rsidP="00FE1030">
            <w:pPr>
              <w:jc w:val="center"/>
              <w:rPr>
                <w:rFonts w:ascii="Times New Roman" w:hAnsi="Times New Roman" w:cs="Times New Roman"/>
                <w:color w:val="000000"/>
                <w:sz w:val="20"/>
                <w:szCs w:val="20"/>
              </w:rPr>
            </w:pPr>
            <w:r w:rsidRPr="00950C06">
              <w:rPr>
                <w:rFonts w:ascii="Times New Roman" w:hAnsi="Times New Roman" w:cs="Times New Roman"/>
                <w:color w:val="000000"/>
                <w:sz w:val="20"/>
                <w:szCs w:val="20"/>
              </w:rPr>
              <w:t>-0,2</w:t>
            </w:r>
          </w:p>
        </w:tc>
        <w:tc>
          <w:tcPr>
            <w:tcW w:w="1276" w:type="dxa"/>
            <w:vAlign w:val="center"/>
          </w:tcPr>
          <w:p w:rsidR="00B8517F" w:rsidRPr="00950C06" w:rsidRDefault="00B8517F" w:rsidP="00FE1030">
            <w:pPr>
              <w:jc w:val="center"/>
              <w:rPr>
                <w:rFonts w:ascii="Times New Roman" w:hAnsi="Times New Roman" w:cs="Times New Roman"/>
                <w:color w:val="000000"/>
                <w:sz w:val="20"/>
                <w:szCs w:val="20"/>
              </w:rPr>
            </w:pPr>
            <w:r w:rsidRPr="00950C06">
              <w:rPr>
                <w:rFonts w:ascii="Times New Roman" w:hAnsi="Times New Roman" w:cs="Times New Roman"/>
                <w:color w:val="000000"/>
                <w:sz w:val="20"/>
                <w:szCs w:val="20"/>
              </w:rPr>
              <w:t>-1,6</w:t>
            </w:r>
          </w:p>
        </w:tc>
      </w:tr>
      <w:tr w:rsidR="00B8517F" w:rsidRPr="00950C06" w:rsidTr="00FE1030">
        <w:trPr>
          <w:trHeight w:val="240"/>
        </w:trPr>
        <w:tc>
          <w:tcPr>
            <w:tcW w:w="1294" w:type="dxa"/>
          </w:tcPr>
          <w:p w:rsidR="00B8517F" w:rsidRPr="00950C06" w:rsidRDefault="00B8517F" w:rsidP="00FE1030">
            <w:pPr>
              <w:pStyle w:val="af1"/>
              <w:jc w:val="both"/>
              <w:rPr>
                <w:rFonts w:ascii="Times New Roman" w:hAnsi="Times New Roman" w:cs="Times New Roman"/>
                <w:sz w:val="20"/>
                <w:szCs w:val="20"/>
                <w:lang w:val="uk-UA"/>
              </w:rPr>
            </w:pPr>
            <w:r w:rsidRPr="00950C06">
              <w:rPr>
                <w:rFonts w:ascii="Times New Roman" w:hAnsi="Times New Roman" w:cs="Times New Roman"/>
                <w:sz w:val="20"/>
                <w:szCs w:val="20"/>
                <w:lang w:val="uk-UA"/>
              </w:rPr>
              <w:t>Ввізне мито</w:t>
            </w:r>
          </w:p>
        </w:tc>
        <w:tc>
          <w:tcPr>
            <w:tcW w:w="1381" w:type="dxa"/>
            <w:shd w:val="clear" w:color="auto" w:fill="auto"/>
            <w:vAlign w:val="center"/>
          </w:tcPr>
          <w:p w:rsidR="00B8517F" w:rsidRPr="00950C06" w:rsidRDefault="00B8517F" w:rsidP="00FE1030">
            <w:pPr>
              <w:jc w:val="center"/>
              <w:rPr>
                <w:rFonts w:ascii="Times New Roman" w:eastAsia="Times New Roman" w:hAnsi="Times New Roman" w:cs="Times New Roman"/>
                <w:color w:val="000000"/>
                <w:sz w:val="20"/>
                <w:szCs w:val="20"/>
              </w:rPr>
            </w:pPr>
            <w:r w:rsidRPr="00950C06">
              <w:rPr>
                <w:rFonts w:ascii="Times New Roman" w:hAnsi="Times New Roman" w:cs="Times New Roman"/>
                <w:color w:val="000000"/>
                <w:sz w:val="20"/>
                <w:szCs w:val="20"/>
              </w:rPr>
              <w:t>-0,1</w:t>
            </w:r>
          </w:p>
        </w:tc>
        <w:tc>
          <w:tcPr>
            <w:tcW w:w="1436" w:type="dxa"/>
            <w:shd w:val="clear" w:color="auto" w:fill="auto"/>
            <w:vAlign w:val="center"/>
          </w:tcPr>
          <w:p w:rsidR="00B8517F" w:rsidRPr="00950C06" w:rsidRDefault="00B8517F" w:rsidP="00FE1030">
            <w:pPr>
              <w:jc w:val="center"/>
              <w:rPr>
                <w:rFonts w:ascii="Times New Roman" w:hAnsi="Times New Roman" w:cs="Times New Roman"/>
                <w:color w:val="000000"/>
                <w:sz w:val="20"/>
                <w:szCs w:val="20"/>
              </w:rPr>
            </w:pPr>
            <w:r w:rsidRPr="00950C06">
              <w:rPr>
                <w:rFonts w:ascii="Times New Roman" w:hAnsi="Times New Roman" w:cs="Times New Roman"/>
                <w:color w:val="000000"/>
                <w:sz w:val="20"/>
                <w:szCs w:val="20"/>
              </w:rPr>
              <w:t>-0,1</w:t>
            </w:r>
          </w:p>
        </w:tc>
        <w:tc>
          <w:tcPr>
            <w:tcW w:w="1701" w:type="dxa"/>
            <w:shd w:val="clear" w:color="auto" w:fill="auto"/>
            <w:vAlign w:val="center"/>
          </w:tcPr>
          <w:p w:rsidR="00B8517F" w:rsidRPr="00950C06" w:rsidRDefault="00B8517F" w:rsidP="00FE1030">
            <w:pPr>
              <w:jc w:val="center"/>
              <w:rPr>
                <w:rFonts w:ascii="Times New Roman" w:hAnsi="Times New Roman" w:cs="Times New Roman"/>
                <w:color w:val="000000"/>
                <w:sz w:val="20"/>
                <w:szCs w:val="20"/>
              </w:rPr>
            </w:pPr>
            <w:r w:rsidRPr="00950C06">
              <w:rPr>
                <w:rFonts w:ascii="Times New Roman" w:hAnsi="Times New Roman" w:cs="Times New Roman"/>
                <w:color w:val="000000"/>
                <w:sz w:val="20"/>
                <w:szCs w:val="20"/>
              </w:rPr>
              <w:t>-0,4</w:t>
            </w:r>
          </w:p>
        </w:tc>
        <w:tc>
          <w:tcPr>
            <w:tcW w:w="1418" w:type="dxa"/>
            <w:shd w:val="clear" w:color="auto" w:fill="auto"/>
            <w:vAlign w:val="center"/>
          </w:tcPr>
          <w:p w:rsidR="00B8517F" w:rsidRPr="00950C06" w:rsidRDefault="00B8517F" w:rsidP="00FE1030">
            <w:pPr>
              <w:jc w:val="center"/>
              <w:rPr>
                <w:rFonts w:ascii="Times New Roman" w:hAnsi="Times New Roman" w:cs="Times New Roman"/>
                <w:color w:val="000000"/>
                <w:sz w:val="20"/>
                <w:szCs w:val="20"/>
              </w:rPr>
            </w:pPr>
            <w:r w:rsidRPr="00950C06">
              <w:rPr>
                <w:rFonts w:ascii="Times New Roman" w:hAnsi="Times New Roman" w:cs="Times New Roman"/>
                <w:color w:val="000000"/>
                <w:sz w:val="20"/>
                <w:szCs w:val="20"/>
              </w:rPr>
              <w:t>-0,1</w:t>
            </w:r>
          </w:p>
        </w:tc>
        <w:tc>
          <w:tcPr>
            <w:tcW w:w="1417" w:type="dxa"/>
            <w:shd w:val="clear" w:color="auto" w:fill="auto"/>
            <w:vAlign w:val="center"/>
          </w:tcPr>
          <w:p w:rsidR="00B8517F" w:rsidRPr="00950C06" w:rsidRDefault="00B8517F" w:rsidP="00FE1030">
            <w:pPr>
              <w:jc w:val="center"/>
              <w:rPr>
                <w:rFonts w:ascii="Times New Roman" w:hAnsi="Times New Roman" w:cs="Times New Roman"/>
                <w:color w:val="000000"/>
                <w:sz w:val="20"/>
                <w:szCs w:val="20"/>
              </w:rPr>
            </w:pPr>
            <w:r w:rsidRPr="00950C06">
              <w:rPr>
                <w:rFonts w:ascii="Times New Roman" w:hAnsi="Times New Roman" w:cs="Times New Roman"/>
                <w:color w:val="000000"/>
                <w:sz w:val="20"/>
                <w:szCs w:val="20"/>
              </w:rPr>
              <w:t>-0,1</w:t>
            </w:r>
          </w:p>
        </w:tc>
        <w:tc>
          <w:tcPr>
            <w:tcW w:w="1276" w:type="dxa"/>
            <w:vAlign w:val="center"/>
          </w:tcPr>
          <w:p w:rsidR="00B8517F" w:rsidRPr="00950C06" w:rsidRDefault="00B8517F" w:rsidP="00FE1030">
            <w:pPr>
              <w:jc w:val="center"/>
              <w:rPr>
                <w:rFonts w:ascii="Times New Roman" w:hAnsi="Times New Roman" w:cs="Times New Roman"/>
                <w:color w:val="000000"/>
                <w:sz w:val="20"/>
                <w:szCs w:val="20"/>
              </w:rPr>
            </w:pPr>
            <w:r w:rsidRPr="00950C06">
              <w:rPr>
                <w:rFonts w:ascii="Times New Roman" w:hAnsi="Times New Roman" w:cs="Times New Roman"/>
                <w:color w:val="000000"/>
                <w:sz w:val="20"/>
                <w:szCs w:val="20"/>
              </w:rPr>
              <w:t>-0,4</w:t>
            </w:r>
          </w:p>
        </w:tc>
      </w:tr>
      <w:tr w:rsidR="00B8517F" w:rsidRPr="00950C06" w:rsidTr="00FE1030">
        <w:trPr>
          <w:trHeight w:val="240"/>
        </w:trPr>
        <w:tc>
          <w:tcPr>
            <w:tcW w:w="1294" w:type="dxa"/>
            <w:tcBorders>
              <w:top w:val="single" w:sz="4" w:space="0" w:color="auto"/>
              <w:left w:val="single" w:sz="4" w:space="0" w:color="auto"/>
              <w:bottom w:val="single" w:sz="4" w:space="0" w:color="auto"/>
              <w:right w:val="single" w:sz="4" w:space="0" w:color="auto"/>
            </w:tcBorders>
          </w:tcPr>
          <w:p w:rsidR="00B8517F" w:rsidRPr="00950C06" w:rsidRDefault="00B8517F" w:rsidP="00FE1030">
            <w:pPr>
              <w:pStyle w:val="af1"/>
              <w:jc w:val="both"/>
              <w:rPr>
                <w:rFonts w:ascii="Times New Roman" w:hAnsi="Times New Roman" w:cs="Times New Roman"/>
                <w:sz w:val="20"/>
                <w:szCs w:val="20"/>
                <w:lang w:val="uk-UA"/>
              </w:rPr>
            </w:pPr>
            <w:r w:rsidRPr="00950C06">
              <w:rPr>
                <w:rFonts w:ascii="Times New Roman" w:hAnsi="Times New Roman" w:cs="Times New Roman"/>
                <w:sz w:val="20"/>
                <w:szCs w:val="20"/>
                <w:lang w:val="uk-UA"/>
              </w:rPr>
              <w:t>Акцизний податок</w:t>
            </w:r>
          </w:p>
        </w:tc>
        <w:tc>
          <w:tcPr>
            <w:tcW w:w="1381" w:type="dxa"/>
            <w:tcBorders>
              <w:top w:val="single" w:sz="4" w:space="0" w:color="auto"/>
              <w:left w:val="single" w:sz="4" w:space="0" w:color="auto"/>
              <w:bottom w:val="single" w:sz="4" w:space="0" w:color="auto"/>
              <w:right w:val="single" w:sz="4" w:space="0" w:color="auto"/>
            </w:tcBorders>
            <w:shd w:val="clear" w:color="auto" w:fill="auto"/>
            <w:vAlign w:val="center"/>
          </w:tcPr>
          <w:p w:rsidR="00B8517F" w:rsidRPr="00950C06" w:rsidRDefault="00B8517F" w:rsidP="00FE1030">
            <w:pPr>
              <w:jc w:val="center"/>
              <w:rPr>
                <w:rFonts w:ascii="Times New Roman" w:eastAsia="Times New Roman" w:hAnsi="Times New Roman" w:cs="Times New Roman"/>
                <w:color w:val="000000"/>
                <w:sz w:val="20"/>
                <w:szCs w:val="20"/>
              </w:rPr>
            </w:pPr>
            <w:r w:rsidRPr="00950C06">
              <w:rPr>
                <w:rFonts w:ascii="Times New Roman" w:hAnsi="Times New Roman" w:cs="Times New Roman"/>
                <w:color w:val="000000"/>
                <w:sz w:val="20"/>
                <w:szCs w:val="20"/>
              </w:rPr>
              <w:t>-0,2</w:t>
            </w:r>
          </w:p>
        </w:tc>
        <w:tc>
          <w:tcPr>
            <w:tcW w:w="1436" w:type="dxa"/>
            <w:tcBorders>
              <w:top w:val="single" w:sz="4" w:space="0" w:color="auto"/>
              <w:left w:val="single" w:sz="4" w:space="0" w:color="auto"/>
              <w:bottom w:val="single" w:sz="4" w:space="0" w:color="auto"/>
              <w:right w:val="single" w:sz="4" w:space="0" w:color="auto"/>
            </w:tcBorders>
            <w:shd w:val="clear" w:color="auto" w:fill="auto"/>
            <w:vAlign w:val="center"/>
          </w:tcPr>
          <w:p w:rsidR="00B8517F" w:rsidRPr="00950C06" w:rsidRDefault="00B8517F" w:rsidP="00FE1030">
            <w:pPr>
              <w:jc w:val="center"/>
              <w:rPr>
                <w:rFonts w:ascii="Times New Roman" w:hAnsi="Times New Roman" w:cs="Times New Roman"/>
                <w:color w:val="000000"/>
                <w:sz w:val="20"/>
                <w:szCs w:val="20"/>
              </w:rPr>
            </w:pPr>
            <w:r w:rsidRPr="00950C06">
              <w:rPr>
                <w:rFonts w:ascii="Times New Roman" w:hAnsi="Times New Roman" w:cs="Times New Roman"/>
                <w:color w:val="000000"/>
                <w:sz w:val="20"/>
                <w:szCs w:val="20"/>
              </w:rPr>
              <w:t>-0,1</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B8517F" w:rsidRPr="00950C06" w:rsidRDefault="00B8517F" w:rsidP="00FE1030">
            <w:pPr>
              <w:jc w:val="center"/>
              <w:rPr>
                <w:rFonts w:ascii="Times New Roman" w:hAnsi="Times New Roman" w:cs="Times New Roman"/>
                <w:color w:val="000000"/>
                <w:sz w:val="20"/>
                <w:szCs w:val="20"/>
              </w:rPr>
            </w:pPr>
            <w:r w:rsidRPr="00950C06">
              <w:rPr>
                <w:rFonts w:ascii="Times New Roman" w:hAnsi="Times New Roman" w:cs="Times New Roman"/>
                <w:color w:val="000000"/>
                <w:sz w:val="20"/>
                <w:szCs w:val="20"/>
              </w:rPr>
              <w:t>-0,8</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B8517F" w:rsidRPr="00950C06" w:rsidRDefault="00B8517F" w:rsidP="00FE1030">
            <w:pPr>
              <w:jc w:val="center"/>
              <w:rPr>
                <w:rFonts w:ascii="Times New Roman" w:hAnsi="Times New Roman" w:cs="Times New Roman"/>
                <w:color w:val="000000"/>
                <w:sz w:val="20"/>
                <w:szCs w:val="20"/>
              </w:rPr>
            </w:pPr>
            <w:r w:rsidRPr="00950C06">
              <w:rPr>
                <w:rFonts w:ascii="Times New Roman" w:hAnsi="Times New Roman" w:cs="Times New Roman"/>
                <w:color w:val="000000"/>
                <w:sz w:val="20"/>
                <w:szCs w:val="20"/>
              </w:rPr>
              <w:t>-0,1</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B8517F" w:rsidRPr="00950C06" w:rsidRDefault="00B8517F" w:rsidP="00FE1030">
            <w:pPr>
              <w:jc w:val="center"/>
              <w:rPr>
                <w:rFonts w:ascii="Times New Roman" w:hAnsi="Times New Roman" w:cs="Times New Roman"/>
                <w:color w:val="000000"/>
                <w:sz w:val="20"/>
                <w:szCs w:val="20"/>
              </w:rPr>
            </w:pPr>
            <w:r w:rsidRPr="00950C06">
              <w:rPr>
                <w:rFonts w:ascii="Times New Roman" w:hAnsi="Times New Roman" w:cs="Times New Roman"/>
                <w:color w:val="000000"/>
                <w:sz w:val="20"/>
                <w:szCs w:val="20"/>
              </w:rPr>
              <w:t>-0,1</w:t>
            </w:r>
          </w:p>
        </w:tc>
        <w:tc>
          <w:tcPr>
            <w:tcW w:w="1276" w:type="dxa"/>
            <w:tcBorders>
              <w:top w:val="single" w:sz="4" w:space="0" w:color="auto"/>
              <w:left w:val="single" w:sz="4" w:space="0" w:color="auto"/>
              <w:bottom w:val="single" w:sz="4" w:space="0" w:color="auto"/>
              <w:right w:val="single" w:sz="4" w:space="0" w:color="auto"/>
            </w:tcBorders>
            <w:vAlign w:val="center"/>
          </w:tcPr>
          <w:p w:rsidR="00B8517F" w:rsidRPr="00950C06" w:rsidRDefault="00B8517F" w:rsidP="00FE1030">
            <w:pPr>
              <w:jc w:val="center"/>
              <w:rPr>
                <w:rFonts w:ascii="Times New Roman" w:hAnsi="Times New Roman" w:cs="Times New Roman"/>
                <w:color w:val="000000"/>
                <w:sz w:val="20"/>
                <w:szCs w:val="20"/>
              </w:rPr>
            </w:pPr>
            <w:r w:rsidRPr="00950C06">
              <w:rPr>
                <w:rFonts w:ascii="Times New Roman" w:hAnsi="Times New Roman" w:cs="Times New Roman"/>
                <w:color w:val="000000"/>
                <w:sz w:val="20"/>
                <w:szCs w:val="20"/>
              </w:rPr>
              <w:t>-0,8</w:t>
            </w:r>
          </w:p>
        </w:tc>
      </w:tr>
    </w:tbl>
    <w:p w:rsidR="00B8517F" w:rsidRPr="00B8517F" w:rsidRDefault="00B8517F" w:rsidP="00B8517F">
      <w:pPr>
        <w:spacing w:after="0" w:line="240" w:lineRule="auto"/>
        <w:jc w:val="both"/>
        <w:rPr>
          <w:rFonts w:ascii="Times New Roman" w:hAnsi="Times New Roman" w:cs="Times New Roman"/>
          <w:i/>
          <w:szCs w:val="24"/>
        </w:rPr>
      </w:pPr>
      <w:r w:rsidRPr="00B8517F">
        <w:rPr>
          <w:rFonts w:ascii="Times New Roman" w:hAnsi="Times New Roman" w:cs="Times New Roman"/>
          <w:i/>
          <w:szCs w:val="24"/>
        </w:rPr>
        <w:t>*- порівняно з базовим сценарієм</w:t>
      </w:r>
    </w:p>
    <w:p w:rsidR="00B8517F" w:rsidRPr="00B8517F" w:rsidRDefault="00B8517F" w:rsidP="00B8517F">
      <w:pPr>
        <w:spacing w:after="0" w:line="240" w:lineRule="auto"/>
        <w:jc w:val="both"/>
        <w:rPr>
          <w:rFonts w:ascii="Times New Roman" w:hAnsi="Times New Roman" w:cs="Times New Roman"/>
          <w:i/>
          <w:sz w:val="24"/>
          <w:szCs w:val="24"/>
        </w:rPr>
      </w:pPr>
      <w:r w:rsidRPr="00B8517F">
        <w:rPr>
          <w:rFonts w:ascii="Times New Roman" w:hAnsi="Times New Roman" w:cs="Times New Roman"/>
          <w:i/>
          <w:sz w:val="24"/>
          <w:szCs w:val="24"/>
        </w:rPr>
        <w:t xml:space="preserve">Джерело: розрахунки Міністерства фінансів України. </w:t>
      </w:r>
    </w:p>
    <w:p w:rsidR="00B8517F" w:rsidRPr="00594FDE" w:rsidRDefault="00B8517F" w:rsidP="00B8517F">
      <w:pPr>
        <w:pStyle w:val="1"/>
        <w:spacing w:after="240"/>
        <w:jc w:val="center"/>
        <w:rPr>
          <w:b/>
          <w:sz w:val="28"/>
        </w:rPr>
      </w:pPr>
      <w:bookmarkStart w:id="3" w:name="_Toc82168985"/>
      <w:r w:rsidRPr="00594FDE">
        <w:rPr>
          <w:b/>
          <w:sz w:val="28"/>
        </w:rPr>
        <w:t>ФІСКАЛЬНІ РИЗИКИ, ПОВ’ЯЗАНІ ІЗ УПРАВЛІННЯМ ДЕРЖАВНИМ БОРГОМ ТА ГАРАНТОВАНИМ ДЕРЖАВОЮ БОРГОМ</w:t>
      </w:r>
      <w:bookmarkEnd w:id="3"/>
    </w:p>
    <w:p w:rsidR="00B8517F" w:rsidRPr="00B8517F" w:rsidRDefault="00B8517F" w:rsidP="00B8517F">
      <w:pPr>
        <w:pStyle w:val="Aff5"/>
        <w:spacing w:before="0" w:after="0" w:line="270" w:lineRule="exact"/>
        <w:ind w:firstLine="567"/>
        <w:jc w:val="both"/>
        <w:rPr>
          <w:lang w:val="uk-UA"/>
        </w:rPr>
      </w:pPr>
      <w:r w:rsidRPr="00B8517F">
        <w:rPr>
          <w:lang w:val="uk-UA"/>
        </w:rPr>
        <w:t xml:space="preserve">У 2019 році впровадження виваженої фіскальної політики та підвищення ефективності управління державним боргом позитивно вплинули на динаміку боргу. Станом на кінець </w:t>
      </w:r>
      <w:r w:rsidRPr="00B8517F">
        <w:rPr>
          <w:lang w:val="uk-UA"/>
        </w:rPr>
        <w:br/>
        <w:t xml:space="preserve">2019 року відношення державного боргу до ВВП становило близько 44,3%, а державного та гарантованого державою боргу до ВВП – 50,3% (на кінець 2018 року – 60,9%, на кінець </w:t>
      </w:r>
      <w:r w:rsidRPr="00B8517F">
        <w:rPr>
          <w:lang w:val="uk-UA"/>
        </w:rPr>
        <w:br/>
        <w:t xml:space="preserve">2016 – 80,9%). </w:t>
      </w:r>
    </w:p>
    <w:p w:rsidR="00B8517F" w:rsidRPr="00B8517F" w:rsidRDefault="00B8517F" w:rsidP="00B8517F">
      <w:pPr>
        <w:pStyle w:val="Aff5"/>
        <w:spacing w:before="0" w:after="0" w:line="270" w:lineRule="exact"/>
        <w:ind w:firstLine="567"/>
        <w:jc w:val="both"/>
        <w:rPr>
          <w:lang w:val="uk-UA"/>
        </w:rPr>
      </w:pPr>
      <w:r w:rsidRPr="00B8517F">
        <w:rPr>
          <w:lang w:val="uk-UA"/>
        </w:rPr>
        <w:t xml:space="preserve">У червні 2019 року Уряд постановою № 473 схвалив Середньострокову стратегію управління державним боргом на 2019 – 2022 роки. Очікувалось, що в результаті визначеного Стратегією плану дій на поточний та наступні три роки показник відношення обсягу державного боргу до ВВП, що на кінець 2018 року становив 52,3%, не перевищить 43% до кінця 2022 року. </w:t>
      </w:r>
    </w:p>
    <w:p w:rsidR="00B8517F" w:rsidRPr="00B8517F" w:rsidRDefault="00B8517F" w:rsidP="00B8517F">
      <w:pPr>
        <w:pStyle w:val="Aff5"/>
        <w:spacing w:before="0" w:after="0" w:line="270" w:lineRule="exact"/>
        <w:ind w:firstLine="567"/>
        <w:jc w:val="both"/>
        <w:rPr>
          <w:lang w:val="uk-UA"/>
        </w:rPr>
      </w:pPr>
      <w:r w:rsidRPr="00B8517F">
        <w:rPr>
          <w:lang w:val="uk-UA"/>
        </w:rPr>
        <w:t>Початок 2020 року відзначився позитивним глобальним прогнозом, обумовленим ростом економічної активності та світової торгівлі, вітчизняна економіка характеризувалась відносною макроекономічною стабільністю із перспективами економічного зростання.</w:t>
      </w:r>
    </w:p>
    <w:p w:rsidR="00B8517F" w:rsidRPr="00B8517F" w:rsidRDefault="00B8517F" w:rsidP="00B8517F">
      <w:pPr>
        <w:pStyle w:val="Aff5"/>
        <w:spacing w:before="0" w:after="0" w:line="270" w:lineRule="exact"/>
        <w:ind w:firstLine="567"/>
        <w:jc w:val="both"/>
        <w:rPr>
          <w:lang w:val="uk-UA"/>
        </w:rPr>
      </w:pPr>
      <w:r w:rsidRPr="00B8517F">
        <w:rPr>
          <w:lang w:val="uk-UA"/>
        </w:rPr>
        <w:t xml:space="preserve">Проте шокуючим чинником для глобального економічного розвитку став спалах гострої респіраторної хвороби COVID-19, спричиненої </w:t>
      </w:r>
      <w:proofErr w:type="spellStart"/>
      <w:r w:rsidRPr="00B8517F">
        <w:rPr>
          <w:lang w:val="uk-UA"/>
        </w:rPr>
        <w:t>коронавірусом</w:t>
      </w:r>
      <w:proofErr w:type="spellEnd"/>
      <w:r w:rsidRPr="00B8517F">
        <w:rPr>
          <w:lang w:val="uk-UA"/>
        </w:rPr>
        <w:t xml:space="preserve"> SARS-CoV-2, який швидко поширився у світі. Впровадження жорстких карантинних обмежень майже усіма країнами призвело до стрімкого зниження економічної активності, що мало відповідний негативний вплив і на світові фінансові ринки.</w:t>
      </w:r>
    </w:p>
    <w:p w:rsidR="00B8517F" w:rsidRPr="00B8517F" w:rsidRDefault="00B8517F" w:rsidP="00B8517F">
      <w:pPr>
        <w:pStyle w:val="af"/>
        <w:spacing w:before="0" w:beforeAutospacing="0" w:after="0" w:afterAutospacing="0" w:line="270" w:lineRule="exact"/>
        <w:ind w:firstLine="567"/>
        <w:jc w:val="both"/>
      </w:pPr>
      <w:r w:rsidRPr="00B8517F">
        <w:rPr>
          <w:rFonts w:eastAsiaTheme="minorHAnsi"/>
        </w:rPr>
        <w:t xml:space="preserve">Негативний вплив поширення COVID-19 як на світову економіку, так і на економічну ситуацію в країні спричинив збільшення планового дефіциту державного бюджету у 2020 році порівняно з 2019 роком більш ніж втричі. </w:t>
      </w:r>
      <w:r w:rsidRPr="00B8517F">
        <w:t>Зростання рівня дефіциту державного бюджету з 2% ВВП у 2019 році до затверджених 7,5% ВВП на 2020 рік, а також продовження тенденції недовиконання плану приватизації  призвели до зростання обсягу державних запозичень, і, як наслідок, обсягу державного боргу та витрат на його обслуговування.</w:t>
      </w:r>
    </w:p>
    <w:p w:rsidR="00B8517F" w:rsidRPr="00B8517F" w:rsidRDefault="00B8517F" w:rsidP="00B8517F">
      <w:pPr>
        <w:spacing w:after="0" w:line="270" w:lineRule="exact"/>
        <w:ind w:firstLine="567"/>
        <w:jc w:val="both"/>
        <w:rPr>
          <w:rFonts w:ascii="Times New Roman" w:eastAsiaTheme="minorHAnsi" w:hAnsi="Times New Roman" w:cs="Times New Roman"/>
          <w:sz w:val="24"/>
          <w:szCs w:val="24"/>
        </w:rPr>
      </w:pPr>
      <w:r w:rsidRPr="00B8517F">
        <w:rPr>
          <w:rFonts w:ascii="Times New Roman" w:eastAsiaTheme="minorHAnsi" w:hAnsi="Times New Roman" w:cs="Times New Roman"/>
          <w:sz w:val="24"/>
          <w:szCs w:val="24"/>
        </w:rPr>
        <w:t xml:space="preserve">Так, змінами до закону про держбюджет обсяг державних запозичень на 2020 рік було збільшено на 277,5 млрд грн (або на 81%), в тому числі внутрішніх – на 146,5 млрд гривень </w:t>
      </w:r>
      <w:r w:rsidRPr="00B8517F">
        <w:rPr>
          <w:rFonts w:ascii="Times New Roman" w:eastAsiaTheme="minorHAnsi" w:hAnsi="Times New Roman" w:cs="Times New Roman"/>
          <w:sz w:val="24"/>
          <w:szCs w:val="24"/>
        </w:rPr>
        <w:br/>
        <w:t xml:space="preserve">(або на 63,4%). </w:t>
      </w:r>
    </w:p>
    <w:p w:rsidR="00B8517F" w:rsidRPr="00B8517F" w:rsidRDefault="00B8517F" w:rsidP="00B8517F">
      <w:pPr>
        <w:spacing w:after="0" w:line="270" w:lineRule="exact"/>
        <w:ind w:firstLine="567"/>
        <w:jc w:val="both"/>
        <w:rPr>
          <w:rFonts w:ascii="Times New Roman" w:hAnsi="Times New Roman" w:cs="Times New Roman"/>
          <w:sz w:val="24"/>
          <w:szCs w:val="24"/>
        </w:rPr>
      </w:pPr>
      <w:r w:rsidRPr="00B8517F">
        <w:rPr>
          <w:rFonts w:ascii="Times New Roman" w:hAnsi="Times New Roman" w:cs="Times New Roman"/>
          <w:sz w:val="24"/>
          <w:szCs w:val="24"/>
        </w:rPr>
        <w:t xml:space="preserve">З метою подальшого зниження негативного впливу пандемії </w:t>
      </w:r>
      <w:proofErr w:type="spellStart"/>
      <w:r w:rsidRPr="00B8517F">
        <w:rPr>
          <w:rFonts w:ascii="Times New Roman" w:hAnsi="Times New Roman" w:cs="Times New Roman"/>
          <w:sz w:val="24"/>
          <w:szCs w:val="24"/>
        </w:rPr>
        <w:t>коронавірусу</w:t>
      </w:r>
      <w:proofErr w:type="spellEnd"/>
      <w:r w:rsidRPr="00B8517F">
        <w:rPr>
          <w:rFonts w:ascii="Times New Roman" w:hAnsi="Times New Roman" w:cs="Times New Roman"/>
          <w:sz w:val="24"/>
          <w:szCs w:val="24"/>
        </w:rPr>
        <w:t xml:space="preserve"> на економічну діяльність в Україні дефіцит державного бюджету на 2021 рік заплановано у розмірі 5,5 % ВВП з поступовим поновленням курсу на фіскальну консолідацію з 2022 року, що разом з іншими факторами сприятиме зниженню боргового навантаження.</w:t>
      </w:r>
    </w:p>
    <w:p w:rsidR="00B8517F" w:rsidRPr="00B8517F" w:rsidRDefault="00B8517F" w:rsidP="00B8517F">
      <w:pPr>
        <w:pStyle w:val="Aff5"/>
        <w:spacing w:before="0" w:after="0" w:line="270" w:lineRule="exact"/>
        <w:ind w:firstLine="567"/>
        <w:jc w:val="both"/>
        <w:rPr>
          <w:rFonts w:eastAsia="Arial"/>
          <w:sz w:val="28"/>
          <w:szCs w:val="28"/>
          <w:lang w:val="uk-UA" w:eastAsia="en-US" w:bidi="en-US"/>
        </w:rPr>
      </w:pPr>
      <w:r w:rsidRPr="00B8517F">
        <w:rPr>
          <w:rFonts w:eastAsia="Arial"/>
          <w:lang w:val="uk-UA" w:eastAsia="en-US" w:bidi="en-US"/>
        </w:rPr>
        <w:t xml:space="preserve">Порівняльний аналіз державного боргу та аналіз ризиків, пов’язаних з державним боргом, здійснюється в рамках підготовки Стратегії управління державним боргом на середньостроковий період. Через негативний вплив поширення гострої респіраторної хвороби COVID-19, спричиненої </w:t>
      </w:r>
      <w:proofErr w:type="spellStart"/>
      <w:r w:rsidRPr="00B8517F">
        <w:rPr>
          <w:rFonts w:eastAsia="Arial"/>
          <w:lang w:val="uk-UA" w:eastAsia="en-US" w:bidi="en-US"/>
        </w:rPr>
        <w:t>коронавірусом</w:t>
      </w:r>
      <w:proofErr w:type="spellEnd"/>
      <w:r w:rsidRPr="00B8517F">
        <w:rPr>
          <w:rFonts w:eastAsia="Arial"/>
          <w:lang w:val="uk-UA" w:eastAsia="en-US" w:bidi="en-US"/>
        </w:rPr>
        <w:t xml:space="preserve"> SARS-CoV-2, на фінансові ринки та достовірність економічних прогнозів, Стратегія у 2020 році не розроблялась.</w:t>
      </w:r>
      <w:r w:rsidRPr="00B8517F">
        <w:rPr>
          <w:rFonts w:eastAsia="Arial"/>
          <w:sz w:val="28"/>
          <w:szCs w:val="28"/>
          <w:lang w:val="uk-UA" w:eastAsia="en-US" w:bidi="en-US"/>
        </w:rPr>
        <w:t xml:space="preserve"> </w:t>
      </w:r>
    </w:p>
    <w:p w:rsidR="00B8517F" w:rsidRPr="00B8517F" w:rsidRDefault="00B8517F" w:rsidP="00B8517F">
      <w:pPr>
        <w:pStyle w:val="Aff5"/>
        <w:spacing w:before="0" w:after="0" w:line="270" w:lineRule="exact"/>
        <w:ind w:firstLine="567"/>
        <w:jc w:val="both"/>
        <w:rPr>
          <w:rFonts w:eastAsia="Arial"/>
          <w:lang w:val="uk-UA" w:eastAsia="en-US" w:bidi="en-US"/>
        </w:rPr>
      </w:pPr>
      <w:r w:rsidRPr="00B8517F">
        <w:rPr>
          <w:rFonts w:eastAsia="Arial"/>
          <w:lang w:val="uk-UA" w:eastAsia="en-US" w:bidi="en-US"/>
        </w:rPr>
        <w:t>Станом на сьогодні Середньострокову стратегію управління державним боргом на</w:t>
      </w:r>
      <w:r w:rsidRPr="00B8517F" w:rsidDel="00B172A2">
        <w:rPr>
          <w:rFonts w:eastAsia="Arial"/>
          <w:lang w:val="uk-UA" w:eastAsia="en-US" w:bidi="en-US"/>
        </w:rPr>
        <w:t xml:space="preserve"> </w:t>
      </w:r>
      <w:r w:rsidRPr="00B8517F">
        <w:rPr>
          <w:rFonts w:eastAsia="Arial"/>
          <w:lang w:val="uk-UA" w:eastAsia="en-US" w:bidi="en-US"/>
        </w:rPr>
        <w:t xml:space="preserve">2021 – 2024 роки розроблено Мінфіном та найближчим часом буде </w:t>
      </w:r>
      <w:proofErr w:type="spellStart"/>
      <w:r w:rsidRPr="00B8517F">
        <w:rPr>
          <w:rFonts w:eastAsia="Arial"/>
          <w:lang w:val="uk-UA" w:eastAsia="en-US" w:bidi="en-US"/>
        </w:rPr>
        <w:t>внесено</w:t>
      </w:r>
      <w:proofErr w:type="spellEnd"/>
      <w:r w:rsidRPr="00B8517F">
        <w:rPr>
          <w:rFonts w:eastAsia="Arial"/>
          <w:lang w:val="uk-UA" w:eastAsia="en-US" w:bidi="en-US"/>
        </w:rPr>
        <w:t xml:space="preserve"> на розгляд Кабінету Міністрів України.</w:t>
      </w:r>
    </w:p>
    <w:p w:rsidR="00B8517F" w:rsidRPr="00B8517F" w:rsidRDefault="00B8517F" w:rsidP="00B8517F">
      <w:pPr>
        <w:pStyle w:val="Aff5"/>
        <w:spacing w:before="0" w:after="0" w:line="270" w:lineRule="exact"/>
        <w:ind w:firstLine="567"/>
        <w:jc w:val="both"/>
        <w:rPr>
          <w:rFonts w:eastAsia="Arial"/>
          <w:lang w:val="uk-UA" w:eastAsia="en-US" w:bidi="en-US"/>
        </w:rPr>
      </w:pPr>
      <w:r w:rsidRPr="00B8517F">
        <w:rPr>
          <w:lang w:val="uk-UA"/>
        </w:rPr>
        <w:t>За результатами аналізу, валютний ризик, відсотковий ризик та ризик рефінансування визначено у проекті Стратегії як основні загрози стійкості державного боргу у найближчі роки.</w:t>
      </w:r>
    </w:p>
    <w:p w:rsidR="00B8517F" w:rsidRPr="00B8517F" w:rsidRDefault="00B8517F" w:rsidP="00B8517F">
      <w:pPr>
        <w:pStyle w:val="Aff5"/>
        <w:spacing w:before="0" w:after="0" w:line="270" w:lineRule="exact"/>
        <w:ind w:firstLine="567"/>
        <w:jc w:val="both"/>
        <w:rPr>
          <w:rFonts w:eastAsia="Arial"/>
          <w:lang w:val="uk-UA" w:bidi="en-US"/>
        </w:rPr>
      </w:pPr>
      <w:r w:rsidRPr="00B8517F">
        <w:rPr>
          <w:rFonts w:eastAsia="Arial"/>
          <w:bCs/>
          <w:lang w:val="uk-UA" w:bidi="en-US"/>
        </w:rPr>
        <w:t>У проекті Стратегії на 2021 – 2024 роки г</w:t>
      </w:r>
      <w:r w:rsidRPr="00B8517F">
        <w:rPr>
          <w:rFonts w:eastAsia="Arial"/>
          <w:lang w:val="uk-UA" w:bidi="en-US"/>
        </w:rPr>
        <w:t xml:space="preserve">оловною метою управління державним боргом залишається залучення необхідного фінансування за найнижчої можливої вартості з урахуванням ризиків. Проектом визначається чотири основні цілі управління державним боргом: </w:t>
      </w:r>
    </w:p>
    <w:p w:rsidR="00B8517F" w:rsidRPr="00B8517F" w:rsidRDefault="00B8517F" w:rsidP="00B8517F">
      <w:pPr>
        <w:pStyle w:val="Aff5"/>
        <w:numPr>
          <w:ilvl w:val="0"/>
          <w:numId w:val="42"/>
        </w:numPr>
        <w:tabs>
          <w:tab w:val="left" w:pos="851"/>
        </w:tabs>
        <w:spacing w:before="0" w:after="0" w:line="270" w:lineRule="exact"/>
        <w:ind w:left="0" w:firstLine="567"/>
        <w:jc w:val="both"/>
        <w:rPr>
          <w:rFonts w:eastAsia="Arial"/>
          <w:lang w:val="uk-UA" w:bidi="en-US"/>
        </w:rPr>
      </w:pPr>
      <w:r w:rsidRPr="00B8517F">
        <w:rPr>
          <w:rFonts w:eastAsia="Arial"/>
          <w:lang w:val="uk-UA" w:bidi="en-US"/>
        </w:rPr>
        <w:t>Збільшення частки державного боргу у національній валюті.</w:t>
      </w:r>
    </w:p>
    <w:p w:rsidR="00B8517F" w:rsidRPr="00B8517F" w:rsidRDefault="00B8517F" w:rsidP="00B8517F">
      <w:pPr>
        <w:pStyle w:val="Aff5"/>
        <w:numPr>
          <w:ilvl w:val="0"/>
          <w:numId w:val="42"/>
        </w:numPr>
        <w:tabs>
          <w:tab w:val="left" w:pos="851"/>
        </w:tabs>
        <w:spacing w:before="0" w:after="0" w:line="270" w:lineRule="exact"/>
        <w:ind w:left="0" w:firstLine="567"/>
        <w:jc w:val="both"/>
        <w:rPr>
          <w:rFonts w:eastAsia="Arial"/>
          <w:lang w:val="uk-UA" w:bidi="en-US"/>
        </w:rPr>
      </w:pPr>
      <w:r w:rsidRPr="00B8517F">
        <w:rPr>
          <w:rFonts w:eastAsia="Arial"/>
          <w:lang w:val="uk-UA" w:bidi="en-US"/>
        </w:rPr>
        <w:t>Продовження середнього строку до погашення і забезпечення рівномірного графіка погашення державного боргу.</w:t>
      </w:r>
    </w:p>
    <w:p w:rsidR="00B8517F" w:rsidRPr="00B8517F" w:rsidRDefault="00B8517F" w:rsidP="00B8517F">
      <w:pPr>
        <w:pStyle w:val="Aff5"/>
        <w:numPr>
          <w:ilvl w:val="0"/>
          <w:numId w:val="42"/>
        </w:numPr>
        <w:tabs>
          <w:tab w:val="left" w:pos="851"/>
        </w:tabs>
        <w:spacing w:before="0" w:after="0" w:line="270" w:lineRule="exact"/>
        <w:ind w:left="0" w:firstLine="567"/>
        <w:jc w:val="both"/>
        <w:rPr>
          <w:rFonts w:eastAsia="Arial"/>
          <w:lang w:val="uk-UA" w:bidi="en-US"/>
        </w:rPr>
      </w:pPr>
      <w:r w:rsidRPr="00B8517F">
        <w:rPr>
          <w:rFonts w:eastAsia="Arial"/>
          <w:lang w:val="uk-UA" w:bidi="en-US"/>
        </w:rPr>
        <w:t xml:space="preserve">Залучення довгострокового пільгового фінансування. </w:t>
      </w:r>
    </w:p>
    <w:p w:rsidR="00B8517F" w:rsidRPr="00B8517F" w:rsidRDefault="00B8517F" w:rsidP="00B8517F">
      <w:pPr>
        <w:pStyle w:val="Aff5"/>
        <w:numPr>
          <w:ilvl w:val="0"/>
          <w:numId w:val="42"/>
        </w:numPr>
        <w:tabs>
          <w:tab w:val="left" w:pos="851"/>
        </w:tabs>
        <w:spacing w:before="0" w:after="0" w:line="270" w:lineRule="exact"/>
        <w:ind w:left="0" w:firstLine="567"/>
        <w:jc w:val="both"/>
        <w:rPr>
          <w:rFonts w:eastAsia="Arial"/>
          <w:lang w:val="uk-UA" w:bidi="en-US"/>
        </w:rPr>
      </w:pPr>
      <w:r w:rsidRPr="00B8517F">
        <w:rPr>
          <w:rFonts w:eastAsia="Arial"/>
          <w:lang w:val="uk-UA" w:bidi="en-US"/>
        </w:rPr>
        <w:t>Продовження розвитку міцних взаємовідносин з інвесторами та подальше удосконалення політики управління державним боргом.</w:t>
      </w:r>
    </w:p>
    <w:p w:rsidR="00B8517F" w:rsidRPr="00B8517F" w:rsidRDefault="00B8517F" w:rsidP="00B8517F">
      <w:pPr>
        <w:pStyle w:val="Aff5"/>
        <w:spacing w:before="0" w:after="0" w:line="270" w:lineRule="exact"/>
        <w:ind w:firstLine="567"/>
        <w:jc w:val="both"/>
        <w:rPr>
          <w:lang w:val="uk-UA"/>
        </w:rPr>
      </w:pPr>
      <w:r w:rsidRPr="00B8517F">
        <w:rPr>
          <w:bCs/>
          <w:lang w:val="uk-UA"/>
        </w:rPr>
        <w:t>У результаті реалізації Стратегії очікується, що відношення державного боргу до ВВП, що на кінець</w:t>
      </w:r>
      <w:r w:rsidRPr="00B8517F">
        <w:rPr>
          <w:b/>
          <w:lang w:val="uk-UA"/>
        </w:rPr>
        <w:t xml:space="preserve"> </w:t>
      </w:r>
      <w:r w:rsidRPr="00B8517F">
        <w:rPr>
          <w:lang w:val="uk-UA"/>
        </w:rPr>
        <w:t>2020 року становило 53,9%, не перевищить 47% на кінець 2024 року.</w:t>
      </w:r>
    </w:p>
    <w:p w:rsidR="00B8517F" w:rsidRPr="00E7332F" w:rsidRDefault="00B8517F" w:rsidP="00B8517F">
      <w:pPr>
        <w:pStyle w:val="af1"/>
        <w:keepNext/>
        <w:spacing w:before="120" w:after="120"/>
        <w:jc w:val="center"/>
        <w:rPr>
          <w:rFonts w:ascii="Times New Roman" w:hAnsi="Times New Roman" w:cs="Times New Roman"/>
          <w:b/>
          <w:sz w:val="24"/>
          <w:szCs w:val="28"/>
          <w:lang w:val="uk-UA"/>
        </w:rPr>
      </w:pPr>
      <w:r w:rsidRPr="00E7332F">
        <w:rPr>
          <w:rFonts w:ascii="Times New Roman" w:hAnsi="Times New Roman" w:cs="Times New Roman"/>
          <w:b/>
          <w:sz w:val="24"/>
          <w:szCs w:val="28"/>
          <w:lang w:val="uk-UA"/>
        </w:rPr>
        <w:t>Основні фіскальні ризики у сфері управління державним боргом у 2022 році</w:t>
      </w:r>
    </w:p>
    <w:tbl>
      <w:tblPr>
        <w:tblW w:w="9923" w:type="dxa"/>
        <w:tblLook w:val="04A0" w:firstRow="1" w:lastRow="0" w:firstColumn="1" w:lastColumn="0" w:noHBand="0" w:noVBand="1"/>
      </w:tblPr>
      <w:tblGrid>
        <w:gridCol w:w="2353"/>
        <w:gridCol w:w="1403"/>
        <w:gridCol w:w="6167"/>
      </w:tblGrid>
      <w:tr w:rsidR="00B8517F" w:rsidRPr="00E7332F" w:rsidTr="00FE1030">
        <w:trPr>
          <w:tblHeader/>
        </w:trPr>
        <w:tc>
          <w:tcPr>
            <w:tcW w:w="2353" w:type="dxa"/>
            <w:tcBorders>
              <w:top w:val="nil"/>
              <w:left w:val="nil"/>
              <w:bottom w:val="nil"/>
              <w:right w:val="single" w:sz="8" w:space="0" w:color="9BBB59" w:themeColor="accent3"/>
            </w:tcBorders>
            <w:shd w:val="clear" w:color="auto" w:fill="8DB4E2"/>
            <w:hideMark/>
          </w:tcPr>
          <w:p w:rsidR="00B8517F" w:rsidRPr="00E7332F" w:rsidRDefault="00B8517F" w:rsidP="00FE1030">
            <w:pPr>
              <w:tabs>
                <w:tab w:val="left" w:pos="993"/>
              </w:tabs>
              <w:spacing w:before="40" w:after="40" w:line="240" w:lineRule="auto"/>
              <w:jc w:val="center"/>
              <w:rPr>
                <w:rFonts w:ascii="Times New Roman" w:eastAsia="Times New Roman" w:hAnsi="Times New Roman" w:cs="Times New Roman"/>
                <w:color w:val="000000" w:themeColor="text1"/>
                <w:sz w:val="20"/>
                <w:szCs w:val="21"/>
                <w:lang w:eastAsia="uk-UA"/>
              </w:rPr>
            </w:pPr>
            <w:r w:rsidRPr="00E7332F">
              <w:rPr>
                <w:rFonts w:ascii="Times New Roman" w:eastAsia="Times New Roman" w:hAnsi="Times New Roman" w:cs="Times New Roman"/>
                <w:color w:val="000000" w:themeColor="text1"/>
                <w:sz w:val="20"/>
                <w:szCs w:val="21"/>
                <w:lang w:eastAsia="uk-UA"/>
              </w:rPr>
              <w:t>Вид ризику</w:t>
            </w:r>
          </w:p>
        </w:tc>
        <w:tc>
          <w:tcPr>
            <w:tcW w:w="1403" w:type="dxa"/>
            <w:tcBorders>
              <w:top w:val="nil"/>
              <w:left w:val="single" w:sz="8" w:space="0" w:color="9BBB59" w:themeColor="accent3"/>
              <w:bottom w:val="nil"/>
              <w:right w:val="single" w:sz="8" w:space="0" w:color="9BBB59" w:themeColor="accent3"/>
            </w:tcBorders>
            <w:shd w:val="clear" w:color="auto" w:fill="8DB4E2"/>
            <w:hideMark/>
          </w:tcPr>
          <w:p w:rsidR="00B8517F" w:rsidRPr="00E7332F" w:rsidRDefault="00B8517F" w:rsidP="00FE1030">
            <w:pPr>
              <w:tabs>
                <w:tab w:val="left" w:pos="993"/>
              </w:tabs>
              <w:spacing w:before="40" w:after="40" w:line="240" w:lineRule="auto"/>
              <w:jc w:val="center"/>
              <w:rPr>
                <w:rFonts w:ascii="Times New Roman" w:eastAsia="Times New Roman" w:hAnsi="Times New Roman" w:cs="Times New Roman"/>
                <w:color w:val="000000" w:themeColor="text1"/>
                <w:sz w:val="20"/>
                <w:szCs w:val="21"/>
                <w:lang w:eastAsia="uk-UA"/>
              </w:rPr>
            </w:pPr>
            <w:r w:rsidRPr="00E7332F">
              <w:rPr>
                <w:rFonts w:ascii="Times New Roman" w:eastAsia="Times New Roman" w:hAnsi="Times New Roman" w:cs="Times New Roman"/>
                <w:color w:val="000000" w:themeColor="text1"/>
                <w:sz w:val="20"/>
                <w:szCs w:val="21"/>
                <w:lang w:eastAsia="uk-UA"/>
              </w:rPr>
              <w:t>Оцінка</w:t>
            </w:r>
          </w:p>
        </w:tc>
        <w:tc>
          <w:tcPr>
            <w:tcW w:w="6167" w:type="dxa"/>
            <w:tcBorders>
              <w:top w:val="nil"/>
              <w:left w:val="single" w:sz="8" w:space="0" w:color="9BBB59" w:themeColor="accent3"/>
              <w:bottom w:val="nil"/>
              <w:right w:val="nil"/>
            </w:tcBorders>
            <w:shd w:val="clear" w:color="auto" w:fill="8DB4E2"/>
            <w:hideMark/>
          </w:tcPr>
          <w:p w:rsidR="00B8517F" w:rsidRPr="00E7332F" w:rsidRDefault="00B8517F" w:rsidP="00FE1030">
            <w:pPr>
              <w:tabs>
                <w:tab w:val="left" w:pos="993"/>
              </w:tabs>
              <w:spacing w:before="40" w:after="40" w:line="240" w:lineRule="auto"/>
              <w:jc w:val="center"/>
              <w:rPr>
                <w:rFonts w:ascii="Times New Roman" w:eastAsia="Times New Roman" w:hAnsi="Times New Roman" w:cs="Times New Roman"/>
                <w:color w:val="000000" w:themeColor="text1"/>
                <w:sz w:val="20"/>
                <w:szCs w:val="21"/>
                <w:lang w:eastAsia="uk-UA"/>
              </w:rPr>
            </w:pPr>
            <w:r w:rsidRPr="00E7332F">
              <w:rPr>
                <w:rFonts w:ascii="Times New Roman" w:eastAsia="Times New Roman" w:hAnsi="Times New Roman" w:cs="Times New Roman"/>
                <w:color w:val="000000" w:themeColor="text1"/>
                <w:sz w:val="20"/>
                <w:szCs w:val="21"/>
                <w:lang w:eastAsia="uk-UA"/>
              </w:rPr>
              <w:t>Опис</w:t>
            </w:r>
          </w:p>
        </w:tc>
      </w:tr>
      <w:tr w:rsidR="00B8517F" w:rsidRPr="00E7332F" w:rsidTr="00FE1030">
        <w:tc>
          <w:tcPr>
            <w:tcW w:w="2353" w:type="dxa"/>
            <w:tcBorders>
              <w:top w:val="nil"/>
              <w:left w:val="nil"/>
              <w:bottom w:val="nil"/>
              <w:right w:val="single" w:sz="8" w:space="0" w:color="9BBB59" w:themeColor="accent3"/>
            </w:tcBorders>
            <w:shd w:val="clear" w:color="auto" w:fill="FFFFFF" w:themeFill="background1"/>
            <w:hideMark/>
          </w:tcPr>
          <w:p w:rsidR="00B8517F" w:rsidRPr="00E7332F" w:rsidRDefault="00B8517F" w:rsidP="00FE1030">
            <w:pPr>
              <w:tabs>
                <w:tab w:val="left" w:pos="993"/>
              </w:tabs>
              <w:spacing w:before="40" w:after="40" w:line="240" w:lineRule="auto"/>
              <w:rPr>
                <w:rFonts w:ascii="Times New Roman" w:eastAsia="Times New Roman" w:hAnsi="Times New Roman" w:cs="Times New Roman"/>
                <w:color w:val="000000" w:themeColor="text1"/>
                <w:sz w:val="20"/>
                <w:szCs w:val="21"/>
                <w:lang w:eastAsia="uk-UA"/>
              </w:rPr>
            </w:pPr>
            <w:r w:rsidRPr="00E7332F">
              <w:rPr>
                <w:rFonts w:ascii="Times New Roman" w:eastAsia="Times New Roman" w:hAnsi="Times New Roman" w:cs="Times New Roman"/>
                <w:color w:val="000000" w:themeColor="text1"/>
                <w:sz w:val="20"/>
                <w:szCs w:val="21"/>
                <w:lang w:eastAsia="uk-UA"/>
              </w:rPr>
              <w:t>Бюджетний ризик</w:t>
            </w:r>
          </w:p>
        </w:tc>
        <w:tc>
          <w:tcPr>
            <w:tcW w:w="1403" w:type="dxa"/>
            <w:tcBorders>
              <w:top w:val="nil"/>
              <w:left w:val="single" w:sz="8" w:space="0" w:color="9BBB59" w:themeColor="accent3"/>
              <w:bottom w:val="nil"/>
              <w:right w:val="single" w:sz="8" w:space="0" w:color="9BBB59" w:themeColor="accent3"/>
            </w:tcBorders>
            <w:shd w:val="clear" w:color="auto" w:fill="FFFFFF" w:themeFill="background1"/>
            <w:hideMark/>
          </w:tcPr>
          <w:p w:rsidR="00B8517F" w:rsidRPr="00E7332F" w:rsidRDefault="00B8517F" w:rsidP="00FE1030">
            <w:pPr>
              <w:tabs>
                <w:tab w:val="left" w:pos="993"/>
              </w:tabs>
              <w:spacing w:before="40" w:after="40" w:line="240" w:lineRule="auto"/>
              <w:jc w:val="center"/>
              <w:rPr>
                <w:rFonts w:ascii="Times New Roman" w:eastAsia="Times New Roman" w:hAnsi="Times New Roman" w:cs="Times New Roman"/>
                <w:color w:val="000000" w:themeColor="text1"/>
                <w:sz w:val="20"/>
                <w:szCs w:val="21"/>
                <w:lang w:eastAsia="uk-UA"/>
              </w:rPr>
            </w:pPr>
            <w:r w:rsidRPr="00E7332F">
              <w:rPr>
                <w:rFonts w:ascii="Times New Roman" w:eastAsia="Times New Roman" w:hAnsi="Times New Roman" w:cs="Times New Roman"/>
                <w:color w:val="000000" w:themeColor="text1"/>
                <w:sz w:val="20"/>
                <w:szCs w:val="21"/>
                <w:lang w:eastAsia="uk-UA"/>
              </w:rPr>
              <w:t>помірний</w:t>
            </w:r>
          </w:p>
        </w:tc>
        <w:tc>
          <w:tcPr>
            <w:tcW w:w="6167" w:type="dxa"/>
            <w:tcBorders>
              <w:top w:val="nil"/>
              <w:left w:val="single" w:sz="8" w:space="0" w:color="9BBB59" w:themeColor="accent3"/>
              <w:bottom w:val="nil"/>
              <w:right w:val="nil"/>
            </w:tcBorders>
            <w:shd w:val="clear" w:color="auto" w:fill="FFFFFF" w:themeFill="background1"/>
            <w:hideMark/>
          </w:tcPr>
          <w:p w:rsidR="00B8517F" w:rsidRPr="00E7332F" w:rsidRDefault="00B8517F" w:rsidP="00FE1030">
            <w:pPr>
              <w:tabs>
                <w:tab w:val="left" w:pos="993"/>
              </w:tabs>
              <w:spacing w:before="40" w:after="40" w:line="240" w:lineRule="auto"/>
              <w:jc w:val="both"/>
              <w:rPr>
                <w:rFonts w:ascii="Times New Roman" w:eastAsia="Times New Roman" w:hAnsi="Times New Roman" w:cs="Times New Roman"/>
                <w:color w:val="000000" w:themeColor="text1"/>
                <w:sz w:val="20"/>
                <w:szCs w:val="21"/>
                <w:lang w:eastAsia="uk-UA"/>
              </w:rPr>
            </w:pPr>
            <w:r w:rsidRPr="00E7332F">
              <w:rPr>
                <w:rFonts w:ascii="Times New Roman" w:eastAsia="Times New Roman" w:hAnsi="Times New Roman" w:cs="Times New Roman"/>
                <w:color w:val="000000" w:themeColor="text1"/>
                <w:sz w:val="20"/>
                <w:szCs w:val="21"/>
                <w:lang w:eastAsia="uk-UA"/>
              </w:rPr>
              <w:t>Може реалізуватись у разі збільшення планового показника дефіциту державного бюджету та фінансуванні його за рахунок боргових джерел</w:t>
            </w:r>
          </w:p>
        </w:tc>
      </w:tr>
      <w:tr w:rsidR="00B8517F" w:rsidRPr="00E7332F" w:rsidTr="00FE1030">
        <w:tc>
          <w:tcPr>
            <w:tcW w:w="2353" w:type="dxa"/>
            <w:tcBorders>
              <w:top w:val="nil"/>
              <w:left w:val="nil"/>
              <w:bottom w:val="nil"/>
              <w:right w:val="single" w:sz="8" w:space="0" w:color="9BBB59" w:themeColor="accent3"/>
            </w:tcBorders>
            <w:shd w:val="clear" w:color="auto" w:fill="DBE5F1" w:themeFill="accent1" w:themeFillTint="33"/>
            <w:hideMark/>
          </w:tcPr>
          <w:p w:rsidR="00B8517F" w:rsidRPr="00E7332F" w:rsidRDefault="00B8517F" w:rsidP="00FE1030">
            <w:pPr>
              <w:tabs>
                <w:tab w:val="left" w:pos="993"/>
              </w:tabs>
              <w:spacing w:before="40" w:after="40" w:line="240" w:lineRule="auto"/>
              <w:rPr>
                <w:rFonts w:ascii="Times New Roman" w:eastAsia="Times New Roman" w:hAnsi="Times New Roman" w:cs="Times New Roman"/>
                <w:color w:val="000000" w:themeColor="text1"/>
                <w:sz w:val="20"/>
                <w:szCs w:val="21"/>
                <w:lang w:eastAsia="uk-UA"/>
              </w:rPr>
            </w:pPr>
            <w:r w:rsidRPr="00E7332F">
              <w:rPr>
                <w:rFonts w:ascii="Times New Roman" w:eastAsia="Times New Roman" w:hAnsi="Times New Roman" w:cs="Times New Roman"/>
                <w:color w:val="000000" w:themeColor="text1"/>
                <w:sz w:val="20"/>
                <w:szCs w:val="21"/>
                <w:lang w:eastAsia="uk-UA"/>
              </w:rPr>
              <w:t>Валютний ризик</w:t>
            </w:r>
          </w:p>
        </w:tc>
        <w:tc>
          <w:tcPr>
            <w:tcW w:w="1403" w:type="dxa"/>
            <w:tcBorders>
              <w:top w:val="nil"/>
              <w:left w:val="single" w:sz="8" w:space="0" w:color="9BBB59" w:themeColor="accent3"/>
              <w:bottom w:val="nil"/>
              <w:right w:val="single" w:sz="8" w:space="0" w:color="9BBB59" w:themeColor="accent3"/>
            </w:tcBorders>
            <w:shd w:val="clear" w:color="auto" w:fill="DBE5F1" w:themeFill="accent1" w:themeFillTint="33"/>
            <w:hideMark/>
          </w:tcPr>
          <w:p w:rsidR="00B8517F" w:rsidRPr="00E7332F" w:rsidRDefault="00B8517F" w:rsidP="00FE1030">
            <w:pPr>
              <w:tabs>
                <w:tab w:val="left" w:pos="993"/>
              </w:tabs>
              <w:spacing w:before="40" w:after="40" w:line="240" w:lineRule="auto"/>
              <w:jc w:val="center"/>
              <w:rPr>
                <w:rFonts w:ascii="Times New Roman" w:eastAsia="Times New Roman" w:hAnsi="Times New Roman" w:cs="Times New Roman"/>
                <w:color w:val="000000" w:themeColor="text1"/>
                <w:sz w:val="20"/>
                <w:szCs w:val="21"/>
                <w:lang w:eastAsia="uk-UA"/>
              </w:rPr>
            </w:pPr>
            <w:r w:rsidRPr="00E7332F">
              <w:rPr>
                <w:rFonts w:ascii="Times New Roman" w:eastAsia="Times New Roman" w:hAnsi="Times New Roman" w:cs="Times New Roman"/>
                <w:color w:val="000000" w:themeColor="text1"/>
                <w:sz w:val="20"/>
                <w:szCs w:val="21"/>
                <w:lang w:eastAsia="uk-UA"/>
              </w:rPr>
              <w:t>значний</w:t>
            </w:r>
          </w:p>
        </w:tc>
        <w:tc>
          <w:tcPr>
            <w:tcW w:w="6167" w:type="dxa"/>
            <w:tcBorders>
              <w:top w:val="nil"/>
              <w:left w:val="single" w:sz="8" w:space="0" w:color="9BBB59" w:themeColor="accent3"/>
              <w:bottom w:val="nil"/>
              <w:right w:val="nil"/>
            </w:tcBorders>
            <w:shd w:val="clear" w:color="auto" w:fill="DBE5F1" w:themeFill="accent1" w:themeFillTint="33"/>
            <w:hideMark/>
          </w:tcPr>
          <w:p w:rsidR="00B8517F" w:rsidRPr="00E7332F" w:rsidRDefault="00B8517F" w:rsidP="00FE1030">
            <w:pPr>
              <w:tabs>
                <w:tab w:val="left" w:pos="993"/>
              </w:tabs>
              <w:spacing w:before="40" w:after="40" w:line="240" w:lineRule="auto"/>
              <w:jc w:val="both"/>
              <w:rPr>
                <w:rFonts w:ascii="Times New Roman" w:eastAsia="Times New Roman" w:hAnsi="Times New Roman" w:cs="Times New Roman"/>
                <w:color w:val="000000" w:themeColor="text1"/>
                <w:sz w:val="20"/>
                <w:szCs w:val="21"/>
                <w:lang w:eastAsia="uk-UA"/>
              </w:rPr>
            </w:pPr>
            <w:r w:rsidRPr="00E7332F">
              <w:rPr>
                <w:rFonts w:ascii="Times New Roman" w:eastAsia="Times New Roman" w:hAnsi="Times New Roman" w:cs="Times New Roman"/>
                <w:color w:val="000000" w:themeColor="text1"/>
                <w:sz w:val="20"/>
                <w:szCs w:val="21"/>
                <w:lang w:eastAsia="uk-UA"/>
              </w:rPr>
              <w:t>Темпи девальвації національної валюти очікуються помірні, однак питома вага державного боргу, номінованого в іноземній валюті, що перевищує 62%, все ще демонструє значний валютний ризик.</w:t>
            </w:r>
          </w:p>
        </w:tc>
      </w:tr>
      <w:tr w:rsidR="00B8517F" w:rsidRPr="00E7332F" w:rsidTr="00FE1030">
        <w:tc>
          <w:tcPr>
            <w:tcW w:w="2353" w:type="dxa"/>
            <w:tcBorders>
              <w:top w:val="nil"/>
              <w:left w:val="nil"/>
              <w:bottom w:val="nil"/>
              <w:right w:val="single" w:sz="8" w:space="0" w:color="9BBB59" w:themeColor="accent3"/>
            </w:tcBorders>
            <w:shd w:val="clear" w:color="auto" w:fill="FFFFFF" w:themeFill="background1"/>
            <w:hideMark/>
          </w:tcPr>
          <w:p w:rsidR="00B8517F" w:rsidRPr="00E7332F" w:rsidRDefault="00B8517F" w:rsidP="00FE1030">
            <w:pPr>
              <w:tabs>
                <w:tab w:val="left" w:pos="993"/>
              </w:tabs>
              <w:spacing w:before="40" w:after="40" w:line="240" w:lineRule="auto"/>
              <w:rPr>
                <w:rFonts w:ascii="Times New Roman" w:eastAsia="Times New Roman" w:hAnsi="Times New Roman" w:cs="Times New Roman"/>
                <w:color w:val="000000" w:themeColor="text1"/>
                <w:sz w:val="20"/>
                <w:szCs w:val="21"/>
                <w:lang w:eastAsia="uk-UA"/>
              </w:rPr>
            </w:pPr>
            <w:r w:rsidRPr="00E7332F">
              <w:rPr>
                <w:rFonts w:ascii="Times New Roman" w:eastAsia="Times New Roman" w:hAnsi="Times New Roman" w:cs="Times New Roman"/>
                <w:color w:val="000000" w:themeColor="text1"/>
                <w:sz w:val="20"/>
                <w:szCs w:val="21"/>
                <w:lang w:eastAsia="uk-UA"/>
              </w:rPr>
              <w:t>Відсотковий ризик</w:t>
            </w:r>
          </w:p>
        </w:tc>
        <w:tc>
          <w:tcPr>
            <w:tcW w:w="1403" w:type="dxa"/>
            <w:tcBorders>
              <w:top w:val="nil"/>
              <w:left w:val="single" w:sz="8" w:space="0" w:color="9BBB59" w:themeColor="accent3"/>
              <w:bottom w:val="nil"/>
              <w:right w:val="single" w:sz="8" w:space="0" w:color="9BBB59" w:themeColor="accent3"/>
            </w:tcBorders>
            <w:shd w:val="clear" w:color="auto" w:fill="FFFFFF" w:themeFill="background1"/>
            <w:hideMark/>
          </w:tcPr>
          <w:p w:rsidR="00B8517F" w:rsidRPr="00E7332F" w:rsidRDefault="00B8517F" w:rsidP="00FE1030">
            <w:pPr>
              <w:tabs>
                <w:tab w:val="left" w:pos="993"/>
              </w:tabs>
              <w:spacing w:before="40" w:after="40" w:line="240" w:lineRule="auto"/>
              <w:jc w:val="center"/>
              <w:rPr>
                <w:rFonts w:ascii="Times New Roman" w:eastAsia="Times New Roman" w:hAnsi="Times New Roman" w:cs="Times New Roman"/>
                <w:color w:val="000000" w:themeColor="text1"/>
                <w:sz w:val="20"/>
                <w:szCs w:val="21"/>
                <w:lang w:eastAsia="uk-UA"/>
              </w:rPr>
            </w:pPr>
            <w:r w:rsidRPr="00E7332F">
              <w:rPr>
                <w:rFonts w:ascii="Times New Roman" w:eastAsia="Times New Roman" w:hAnsi="Times New Roman" w:cs="Times New Roman"/>
                <w:color w:val="000000" w:themeColor="text1"/>
                <w:sz w:val="20"/>
                <w:szCs w:val="21"/>
                <w:lang w:eastAsia="uk-UA"/>
              </w:rPr>
              <w:t>низький</w:t>
            </w:r>
          </w:p>
        </w:tc>
        <w:tc>
          <w:tcPr>
            <w:tcW w:w="6167" w:type="dxa"/>
            <w:tcBorders>
              <w:top w:val="nil"/>
              <w:left w:val="single" w:sz="8" w:space="0" w:color="9BBB59" w:themeColor="accent3"/>
              <w:bottom w:val="nil"/>
              <w:right w:val="nil"/>
            </w:tcBorders>
            <w:shd w:val="clear" w:color="auto" w:fill="FFFFFF" w:themeFill="background1"/>
            <w:hideMark/>
          </w:tcPr>
          <w:p w:rsidR="00B8517F" w:rsidRPr="00E7332F" w:rsidRDefault="00B8517F" w:rsidP="00FE1030">
            <w:pPr>
              <w:tabs>
                <w:tab w:val="left" w:pos="993"/>
              </w:tabs>
              <w:spacing w:before="40" w:after="40" w:line="240" w:lineRule="auto"/>
              <w:jc w:val="both"/>
              <w:rPr>
                <w:rFonts w:ascii="Times New Roman" w:eastAsia="Times New Roman" w:hAnsi="Times New Roman" w:cs="Times New Roman"/>
                <w:color w:val="000000" w:themeColor="text1"/>
                <w:sz w:val="20"/>
                <w:szCs w:val="21"/>
                <w:lang w:eastAsia="uk-UA"/>
              </w:rPr>
            </w:pPr>
            <w:r w:rsidRPr="00E7332F">
              <w:rPr>
                <w:rFonts w:ascii="Times New Roman" w:eastAsia="Times New Roman" w:hAnsi="Times New Roman" w:cs="Times New Roman"/>
                <w:color w:val="000000" w:themeColor="text1"/>
                <w:sz w:val="20"/>
                <w:szCs w:val="21"/>
                <w:lang w:eastAsia="uk-UA"/>
              </w:rPr>
              <w:t>Частка державного боргу з фіксованою ставкою очікується на рівні не менше 78 % (на кінець 2020 року становила 77,5%).</w:t>
            </w:r>
          </w:p>
        </w:tc>
      </w:tr>
      <w:tr w:rsidR="00B8517F" w:rsidRPr="00E7332F" w:rsidTr="00FE1030">
        <w:tc>
          <w:tcPr>
            <w:tcW w:w="2353" w:type="dxa"/>
            <w:tcBorders>
              <w:top w:val="nil"/>
              <w:left w:val="nil"/>
              <w:bottom w:val="nil"/>
              <w:right w:val="single" w:sz="8" w:space="0" w:color="9BBB59" w:themeColor="accent3"/>
            </w:tcBorders>
            <w:shd w:val="clear" w:color="auto" w:fill="DBE5F1" w:themeFill="accent1" w:themeFillTint="33"/>
            <w:hideMark/>
          </w:tcPr>
          <w:p w:rsidR="00B8517F" w:rsidRPr="00E7332F" w:rsidRDefault="00B8517F" w:rsidP="00FE1030">
            <w:pPr>
              <w:tabs>
                <w:tab w:val="left" w:pos="993"/>
              </w:tabs>
              <w:spacing w:before="40" w:after="40" w:line="240" w:lineRule="auto"/>
              <w:rPr>
                <w:rFonts w:ascii="Times New Roman" w:eastAsia="Times New Roman" w:hAnsi="Times New Roman" w:cs="Times New Roman"/>
                <w:color w:val="000000" w:themeColor="text1"/>
                <w:sz w:val="20"/>
                <w:szCs w:val="21"/>
                <w:lang w:eastAsia="uk-UA"/>
              </w:rPr>
            </w:pPr>
            <w:r w:rsidRPr="00E7332F">
              <w:rPr>
                <w:rFonts w:ascii="Times New Roman" w:eastAsia="Times New Roman" w:hAnsi="Times New Roman" w:cs="Times New Roman"/>
                <w:color w:val="000000" w:themeColor="text1"/>
                <w:sz w:val="20"/>
                <w:szCs w:val="21"/>
                <w:lang w:eastAsia="uk-UA"/>
              </w:rPr>
              <w:t>Ризик ліквідності</w:t>
            </w:r>
          </w:p>
        </w:tc>
        <w:tc>
          <w:tcPr>
            <w:tcW w:w="1403" w:type="dxa"/>
            <w:tcBorders>
              <w:top w:val="nil"/>
              <w:left w:val="single" w:sz="8" w:space="0" w:color="9BBB59" w:themeColor="accent3"/>
              <w:bottom w:val="nil"/>
              <w:right w:val="single" w:sz="8" w:space="0" w:color="9BBB59" w:themeColor="accent3"/>
            </w:tcBorders>
            <w:shd w:val="clear" w:color="auto" w:fill="DBE5F1" w:themeFill="accent1" w:themeFillTint="33"/>
            <w:hideMark/>
          </w:tcPr>
          <w:p w:rsidR="00B8517F" w:rsidRPr="00E7332F" w:rsidRDefault="00B8517F" w:rsidP="00FE1030">
            <w:pPr>
              <w:tabs>
                <w:tab w:val="left" w:pos="993"/>
              </w:tabs>
              <w:spacing w:before="40" w:after="40" w:line="240" w:lineRule="auto"/>
              <w:jc w:val="center"/>
              <w:rPr>
                <w:rFonts w:ascii="Times New Roman" w:eastAsia="Times New Roman" w:hAnsi="Times New Roman" w:cs="Times New Roman"/>
                <w:color w:val="000000" w:themeColor="text1"/>
                <w:sz w:val="20"/>
                <w:szCs w:val="21"/>
                <w:lang w:eastAsia="uk-UA"/>
              </w:rPr>
            </w:pPr>
            <w:r w:rsidRPr="00E7332F">
              <w:rPr>
                <w:rFonts w:ascii="Times New Roman" w:eastAsia="Times New Roman" w:hAnsi="Times New Roman" w:cs="Times New Roman"/>
                <w:color w:val="000000" w:themeColor="text1"/>
                <w:sz w:val="20"/>
                <w:szCs w:val="21"/>
                <w:lang w:eastAsia="uk-UA"/>
              </w:rPr>
              <w:t>помірний</w:t>
            </w:r>
          </w:p>
        </w:tc>
        <w:tc>
          <w:tcPr>
            <w:tcW w:w="6167" w:type="dxa"/>
            <w:tcBorders>
              <w:top w:val="nil"/>
              <w:left w:val="single" w:sz="8" w:space="0" w:color="9BBB59" w:themeColor="accent3"/>
              <w:bottom w:val="nil"/>
              <w:right w:val="nil"/>
            </w:tcBorders>
            <w:shd w:val="clear" w:color="auto" w:fill="DBE5F1" w:themeFill="accent1" w:themeFillTint="33"/>
            <w:hideMark/>
          </w:tcPr>
          <w:p w:rsidR="00B8517F" w:rsidRPr="00E7332F" w:rsidRDefault="00B8517F" w:rsidP="00FE1030">
            <w:pPr>
              <w:tabs>
                <w:tab w:val="left" w:pos="993"/>
              </w:tabs>
              <w:spacing w:before="40" w:after="40" w:line="240" w:lineRule="auto"/>
              <w:jc w:val="both"/>
              <w:rPr>
                <w:rFonts w:ascii="Times New Roman" w:eastAsia="Times New Roman" w:hAnsi="Times New Roman" w:cs="Times New Roman"/>
                <w:color w:val="000000" w:themeColor="text1"/>
                <w:sz w:val="20"/>
                <w:szCs w:val="21"/>
                <w:lang w:eastAsia="uk-UA"/>
              </w:rPr>
            </w:pPr>
            <w:r w:rsidRPr="00E7332F">
              <w:rPr>
                <w:rFonts w:ascii="Times New Roman" w:eastAsia="Times New Roman" w:hAnsi="Times New Roman" w:cs="Times New Roman"/>
                <w:color w:val="000000" w:themeColor="text1"/>
                <w:sz w:val="20"/>
                <w:szCs w:val="21"/>
                <w:lang w:eastAsia="uk-UA"/>
              </w:rPr>
              <w:t>Очікується, що залишок коштів на єдиному казначейському рахунку дозволятиме вчасно проводити платежі за державним боргом, а обсяг міжнародних резервів України буде достатнім для виконання зобов’язань України та поточних операцій Уряду і Національного банку.</w:t>
            </w:r>
          </w:p>
        </w:tc>
      </w:tr>
      <w:tr w:rsidR="00B8517F" w:rsidRPr="00E7332F" w:rsidTr="00FE1030">
        <w:tc>
          <w:tcPr>
            <w:tcW w:w="2353" w:type="dxa"/>
            <w:tcBorders>
              <w:top w:val="nil"/>
              <w:left w:val="nil"/>
              <w:bottom w:val="single" w:sz="4" w:space="0" w:color="auto"/>
              <w:right w:val="single" w:sz="8" w:space="0" w:color="9BBB59" w:themeColor="accent3"/>
            </w:tcBorders>
            <w:shd w:val="clear" w:color="auto" w:fill="FFFFFF" w:themeFill="background1"/>
            <w:hideMark/>
          </w:tcPr>
          <w:p w:rsidR="00B8517F" w:rsidRPr="00E7332F" w:rsidRDefault="00B8517F" w:rsidP="00FE1030">
            <w:pPr>
              <w:tabs>
                <w:tab w:val="left" w:pos="993"/>
              </w:tabs>
              <w:spacing w:before="40" w:after="40" w:line="240" w:lineRule="auto"/>
              <w:rPr>
                <w:rFonts w:ascii="Times New Roman" w:eastAsia="Times New Roman" w:hAnsi="Times New Roman" w:cs="Times New Roman"/>
                <w:color w:val="000000" w:themeColor="text1"/>
                <w:sz w:val="20"/>
                <w:szCs w:val="21"/>
                <w:lang w:eastAsia="uk-UA"/>
              </w:rPr>
            </w:pPr>
            <w:r w:rsidRPr="00E7332F">
              <w:rPr>
                <w:rFonts w:ascii="Times New Roman" w:eastAsia="Times New Roman" w:hAnsi="Times New Roman" w:cs="Times New Roman"/>
                <w:color w:val="000000" w:themeColor="text1"/>
                <w:sz w:val="20"/>
                <w:szCs w:val="21"/>
                <w:lang w:eastAsia="uk-UA"/>
              </w:rPr>
              <w:t>Ризик рефінансування</w:t>
            </w:r>
          </w:p>
        </w:tc>
        <w:tc>
          <w:tcPr>
            <w:tcW w:w="1403" w:type="dxa"/>
            <w:tcBorders>
              <w:top w:val="nil"/>
              <w:left w:val="single" w:sz="8" w:space="0" w:color="9BBB59" w:themeColor="accent3"/>
              <w:bottom w:val="single" w:sz="4" w:space="0" w:color="auto"/>
              <w:right w:val="single" w:sz="8" w:space="0" w:color="9BBB59" w:themeColor="accent3"/>
            </w:tcBorders>
            <w:shd w:val="clear" w:color="auto" w:fill="FFFFFF" w:themeFill="background1"/>
            <w:hideMark/>
          </w:tcPr>
          <w:p w:rsidR="00B8517F" w:rsidRPr="00E7332F" w:rsidRDefault="00B8517F" w:rsidP="00FE1030">
            <w:pPr>
              <w:tabs>
                <w:tab w:val="left" w:pos="993"/>
              </w:tabs>
              <w:spacing w:before="40" w:after="40" w:line="240" w:lineRule="auto"/>
              <w:jc w:val="center"/>
              <w:rPr>
                <w:rFonts w:ascii="Times New Roman" w:eastAsia="Times New Roman" w:hAnsi="Times New Roman" w:cs="Times New Roman"/>
                <w:color w:val="000000" w:themeColor="text1"/>
                <w:sz w:val="20"/>
                <w:szCs w:val="21"/>
                <w:lang w:eastAsia="uk-UA"/>
              </w:rPr>
            </w:pPr>
            <w:r w:rsidRPr="00E7332F">
              <w:rPr>
                <w:rFonts w:ascii="Times New Roman" w:eastAsia="Times New Roman" w:hAnsi="Times New Roman" w:cs="Times New Roman"/>
                <w:color w:val="000000" w:themeColor="text1"/>
                <w:sz w:val="20"/>
                <w:szCs w:val="21"/>
                <w:lang w:eastAsia="uk-UA"/>
              </w:rPr>
              <w:t>значний</w:t>
            </w:r>
          </w:p>
        </w:tc>
        <w:tc>
          <w:tcPr>
            <w:tcW w:w="6167" w:type="dxa"/>
            <w:tcBorders>
              <w:top w:val="nil"/>
              <w:left w:val="single" w:sz="8" w:space="0" w:color="9BBB59" w:themeColor="accent3"/>
              <w:bottom w:val="single" w:sz="4" w:space="0" w:color="auto"/>
              <w:right w:val="nil"/>
            </w:tcBorders>
            <w:shd w:val="clear" w:color="auto" w:fill="FFFFFF" w:themeFill="background1"/>
            <w:hideMark/>
          </w:tcPr>
          <w:p w:rsidR="00B8517F" w:rsidRPr="00E7332F" w:rsidRDefault="00B8517F" w:rsidP="00FE1030">
            <w:pPr>
              <w:tabs>
                <w:tab w:val="left" w:pos="993"/>
              </w:tabs>
              <w:spacing w:before="40" w:after="40" w:line="240" w:lineRule="auto"/>
              <w:jc w:val="both"/>
              <w:rPr>
                <w:rFonts w:ascii="Times New Roman" w:eastAsia="Times New Roman" w:hAnsi="Times New Roman" w:cs="Times New Roman"/>
                <w:color w:val="000000" w:themeColor="text1"/>
                <w:sz w:val="20"/>
                <w:szCs w:val="21"/>
                <w:lang w:eastAsia="uk-UA"/>
              </w:rPr>
            </w:pPr>
            <w:r w:rsidRPr="00E7332F">
              <w:rPr>
                <w:rFonts w:ascii="Times New Roman" w:eastAsia="Times New Roman" w:hAnsi="Times New Roman" w:cs="Times New Roman"/>
                <w:color w:val="000000" w:themeColor="text1"/>
                <w:sz w:val="20"/>
                <w:szCs w:val="21"/>
                <w:lang w:eastAsia="uk-UA"/>
              </w:rPr>
              <w:t xml:space="preserve">Значне навантаження на державний бюджет платежів з погашення державного боргу все ще припадає на 2022 – </w:t>
            </w:r>
            <w:r w:rsidRPr="00B8517F">
              <w:rPr>
                <w:rFonts w:ascii="Times New Roman" w:eastAsia="Times New Roman" w:hAnsi="Times New Roman" w:cs="Times New Roman"/>
                <w:sz w:val="20"/>
                <w:szCs w:val="21"/>
                <w:lang w:eastAsia="uk-UA"/>
              </w:rPr>
              <w:t xml:space="preserve">2024 роки, зокрема, внаслідок настання строку погашення ОЗДП 2015 та 2018 років й боргових зобов’язань перед МВФ. </w:t>
            </w:r>
          </w:p>
        </w:tc>
      </w:tr>
    </w:tbl>
    <w:p w:rsidR="00B8517F" w:rsidRPr="00DF1C11" w:rsidRDefault="00B8517F" w:rsidP="00B8517F">
      <w:pPr>
        <w:pStyle w:val="Aff5"/>
        <w:spacing w:before="120" w:after="0" w:line="270" w:lineRule="exact"/>
        <w:ind w:firstLine="567"/>
        <w:jc w:val="both"/>
        <w:rPr>
          <w:color w:val="000000" w:themeColor="text1"/>
          <w:lang w:val="uk-UA"/>
        </w:rPr>
      </w:pPr>
      <w:r w:rsidRPr="00DF1C11">
        <w:rPr>
          <w:color w:val="000000" w:themeColor="text1"/>
          <w:lang w:val="uk-UA"/>
        </w:rPr>
        <w:t xml:space="preserve">План дій Мінфіну для мінімізації найбільш критичних ризиків: </w:t>
      </w:r>
    </w:p>
    <w:p w:rsidR="00B8517F" w:rsidRPr="00DF1C11" w:rsidRDefault="00B8517F" w:rsidP="00B8517F">
      <w:pPr>
        <w:pStyle w:val="Aff5"/>
        <w:spacing w:before="0" w:after="0" w:line="270" w:lineRule="exact"/>
        <w:ind w:firstLine="567"/>
        <w:jc w:val="both"/>
        <w:rPr>
          <w:lang w:val="uk-UA"/>
        </w:rPr>
      </w:pPr>
      <w:r w:rsidRPr="00DF1C11">
        <w:rPr>
          <w:color w:val="000000" w:themeColor="text1"/>
          <w:lang w:val="uk-UA"/>
        </w:rPr>
        <w:t xml:space="preserve">• забезпечення подальшого розвитку внутрішнього ринку державних </w:t>
      </w:r>
      <w:r w:rsidRPr="00DF1C11">
        <w:rPr>
          <w:lang w:val="uk-UA"/>
        </w:rPr>
        <w:t xml:space="preserve">цінних паперів; </w:t>
      </w:r>
    </w:p>
    <w:p w:rsidR="00B8517F" w:rsidRPr="00DF1C11" w:rsidRDefault="00B8517F" w:rsidP="00B8517F">
      <w:pPr>
        <w:pStyle w:val="Aff5"/>
        <w:spacing w:before="0" w:after="0" w:line="270" w:lineRule="exact"/>
        <w:ind w:firstLine="567"/>
        <w:jc w:val="both"/>
        <w:rPr>
          <w:lang w:val="uk-UA"/>
        </w:rPr>
      </w:pPr>
      <w:r w:rsidRPr="00DF1C11">
        <w:rPr>
          <w:lang w:val="uk-UA"/>
        </w:rPr>
        <w:t xml:space="preserve">• здійснення рефінансування державного боргу шляхом залучення нових запозичень з довшим терміном обігу, що зменшить погашення в зазначені роки (включно із залученням пільгових запозичень від МФО та ЄС); </w:t>
      </w:r>
    </w:p>
    <w:p w:rsidR="00B8517F" w:rsidRPr="00DF1C11" w:rsidRDefault="00B8517F" w:rsidP="00B8517F">
      <w:pPr>
        <w:pStyle w:val="Aff5"/>
        <w:spacing w:before="0" w:after="0" w:line="270" w:lineRule="exact"/>
        <w:ind w:firstLine="567"/>
        <w:jc w:val="both"/>
        <w:rPr>
          <w:color w:val="000000" w:themeColor="text1"/>
          <w:lang w:val="uk-UA"/>
        </w:rPr>
      </w:pPr>
      <w:r w:rsidRPr="00DF1C11">
        <w:rPr>
          <w:lang w:val="uk-UA"/>
        </w:rPr>
        <w:t xml:space="preserve">• </w:t>
      </w:r>
      <w:r w:rsidRPr="00DF1C11">
        <w:rPr>
          <w:color w:val="000000" w:themeColor="text1"/>
          <w:lang w:val="uk-UA"/>
        </w:rPr>
        <w:t xml:space="preserve">здійснення активних операцій з державним боргом з метою ефективного управління державним боргом та/або економії бюджетних коштів. </w:t>
      </w:r>
    </w:p>
    <w:p w:rsidR="00B8517F" w:rsidRPr="00DF1C11" w:rsidRDefault="00B8517F" w:rsidP="00B8517F">
      <w:pPr>
        <w:pStyle w:val="Aff5"/>
        <w:spacing w:before="0" w:after="0" w:line="270" w:lineRule="exact"/>
        <w:ind w:firstLine="567"/>
        <w:jc w:val="both"/>
        <w:rPr>
          <w:color w:val="000000" w:themeColor="text1"/>
          <w:lang w:val="uk-UA"/>
        </w:rPr>
      </w:pPr>
      <w:r w:rsidRPr="00DF1C11">
        <w:rPr>
          <w:color w:val="000000" w:themeColor="text1"/>
          <w:lang w:val="uk-UA"/>
        </w:rPr>
        <w:t>Ризики державного боргу можуть посилюватись в разі ускладнення доступу України до міжнародних ринків капіталу.</w:t>
      </w:r>
    </w:p>
    <w:p w:rsidR="00B8517F" w:rsidRPr="00B8517F" w:rsidRDefault="00B8517F" w:rsidP="00B8517F">
      <w:pPr>
        <w:spacing w:after="0" w:line="270" w:lineRule="exact"/>
        <w:ind w:firstLine="567"/>
        <w:jc w:val="both"/>
        <w:rPr>
          <w:rFonts w:ascii="Times New Roman" w:hAnsi="Times New Roman" w:cs="Times New Roman"/>
          <w:sz w:val="24"/>
          <w:szCs w:val="24"/>
        </w:rPr>
      </w:pPr>
      <w:r w:rsidRPr="00DF1C11">
        <w:rPr>
          <w:rFonts w:ascii="Times New Roman" w:hAnsi="Times New Roman" w:cs="Times New Roman"/>
          <w:color w:val="000000" w:themeColor="text1"/>
          <w:sz w:val="24"/>
          <w:szCs w:val="24"/>
        </w:rPr>
        <w:t xml:space="preserve">З огляду на ймовірність поширення нового штаму </w:t>
      </w:r>
      <w:proofErr w:type="spellStart"/>
      <w:r w:rsidRPr="00DF1C11">
        <w:rPr>
          <w:rFonts w:ascii="Times New Roman" w:hAnsi="Times New Roman" w:cs="Times New Roman"/>
          <w:color w:val="000000" w:themeColor="text1"/>
          <w:sz w:val="24"/>
          <w:szCs w:val="24"/>
        </w:rPr>
        <w:t>коронавірусу</w:t>
      </w:r>
      <w:proofErr w:type="spellEnd"/>
      <w:r w:rsidRPr="00DF1C11">
        <w:rPr>
          <w:rFonts w:ascii="Times New Roman" w:hAnsi="Times New Roman" w:cs="Times New Roman"/>
          <w:color w:val="000000" w:themeColor="text1"/>
          <w:sz w:val="24"/>
          <w:szCs w:val="24"/>
        </w:rPr>
        <w:t>, існує потенційний ризик недови</w:t>
      </w:r>
      <w:r w:rsidRPr="00B8517F">
        <w:rPr>
          <w:rFonts w:ascii="Times New Roman" w:hAnsi="Times New Roman" w:cs="Times New Roman"/>
          <w:sz w:val="24"/>
          <w:szCs w:val="24"/>
        </w:rPr>
        <w:t>конання плану державних запозичень у 2021 – 2022 роках для фінансування збільшеного дефіциту державного бюджету, що може спричинити необхідність скорочення видатків державного бюджету.</w:t>
      </w:r>
    </w:p>
    <w:p w:rsidR="00B8517F" w:rsidRPr="00B8517F" w:rsidRDefault="00B8517F" w:rsidP="00B8517F">
      <w:pPr>
        <w:pStyle w:val="23"/>
        <w:tabs>
          <w:tab w:val="left" w:pos="9781"/>
        </w:tabs>
        <w:spacing w:after="0" w:line="270" w:lineRule="exact"/>
        <w:ind w:left="0" w:firstLine="567"/>
        <w:jc w:val="both"/>
        <w:rPr>
          <w:rFonts w:ascii="Times New Roman" w:hAnsi="Times New Roman" w:cs="Times New Roman"/>
          <w:sz w:val="24"/>
          <w:szCs w:val="24"/>
        </w:rPr>
      </w:pPr>
      <w:r w:rsidRPr="00B8517F">
        <w:rPr>
          <w:rFonts w:ascii="Times New Roman" w:hAnsi="Times New Roman" w:cs="Times New Roman"/>
          <w:sz w:val="24"/>
          <w:szCs w:val="24"/>
        </w:rPr>
        <w:t xml:space="preserve">Відхилення макроекономічних показників, зокрема росту ВВП та курсу національної валюти по відношенню до іноземних валют, від прогнозних матиме вплив на показники державного боргу та гарантованого державою боргу, оскільки рівень державного та гарантованого державою боргу, дві третини якого номіновано в іноземній валюті (на кінець </w:t>
      </w:r>
      <w:r w:rsidRPr="00B8517F">
        <w:rPr>
          <w:rFonts w:ascii="Times New Roman" w:hAnsi="Times New Roman" w:cs="Times New Roman"/>
          <w:sz w:val="24"/>
          <w:szCs w:val="24"/>
        </w:rPr>
        <w:br/>
        <w:t>2020 року частка державного боргу в іноземній валюті становила 62 %), є чутливим до змін валютного курсу та зовнішнього середовища.</w:t>
      </w:r>
    </w:p>
    <w:p w:rsidR="00B8517F" w:rsidRPr="00B8517F" w:rsidRDefault="00B8517F" w:rsidP="00B8517F">
      <w:pPr>
        <w:pStyle w:val="23"/>
        <w:tabs>
          <w:tab w:val="left" w:pos="9781"/>
        </w:tabs>
        <w:spacing w:after="0" w:line="270" w:lineRule="exact"/>
        <w:ind w:left="0" w:firstLine="567"/>
        <w:jc w:val="both"/>
        <w:rPr>
          <w:rFonts w:ascii="Times New Roman" w:hAnsi="Times New Roman" w:cs="Times New Roman"/>
          <w:sz w:val="24"/>
          <w:szCs w:val="24"/>
        </w:rPr>
      </w:pPr>
      <w:r w:rsidRPr="00B8517F">
        <w:rPr>
          <w:rFonts w:ascii="Times New Roman" w:hAnsi="Times New Roman" w:cs="Times New Roman"/>
          <w:sz w:val="24"/>
          <w:szCs w:val="24"/>
        </w:rPr>
        <w:t>Для мінімізації фіскальних ризиків, пов’язаних із управлінням державним боргом та гарантованим державою боргом, необхідними</w:t>
      </w:r>
      <w:r w:rsidRPr="00B8517F">
        <w:rPr>
          <w:rFonts w:ascii="Times New Roman" w:eastAsia="Arial" w:hAnsi="Times New Roman" w:cs="Times New Roman"/>
          <w:sz w:val="24"/>
          <w:szCs w:val="24"/>
          <w:lang w:bidi="en-US"/>
        </w:rPr>
        <w:t xml:space="preserve"> є реалізація цілей Середньострокової  стратегії управління державним боргом на</w:t>
      </w:r>
      <w:r w:rsidRPr="00B8517F" w:rsidDel="00B172A2">
        <w:rPr>
          <w:rFonts w:ascii="Times New Roman" w:eastAsia="Arial" w:hAnsi="Times New Roman" w:cs="Times New Roman"/>
          <w:sz w:val="24"/>
          <w:szCs w:val="24"/>
          <w:lang w:bidi="en-US"/>
        </w:rPr>
        <w:t xml:space="preserve"> </w:t>
      </w:r>
      <w:r w:rsidRPr="00B8517F">
        <w:rPr>
          <w:rFonts w:ascii="Times New Roman" w:eastAsia="Arial" w:hAnsi="Times New Roman" w:cs="Times New Roman"/>
          <w:sz w:val="24"/>
          <w:szCs w:val="24"/>
          <w:lang w:bidi="en-US"/>
        </w:rPr>
        <w:t xml:space="preserve">2021 – 2024 роки, а також </w:t>
      </w:r>
      <w:r w:rsidRPr="00B8517F">
        <w:rPr>
          <w:rFonts w:ascii="Times New Roman" w:hAnsi="Times New Roman" w:cs="Times New Roman"/>
          <w:sz w:val="24"/>
          <w:szCs w:val="24"/>
        </w:rPr>
        <w:t xml:space="preserve">повернення до практики дотримання фіскальних правил, визначених Бюджетним кодексом України, в першу чергу – обмеження на дефіцит державного бюджету у 3% до ВВП, обмеження надання державних гарантій виключно для реалізації інвестиційних проектів із забезпеченням контролю за їх реалізацією. </w:t>
      </w:r>
    </w:p>
    <w:p w:rsidR="00B8517F" w:rsidRPr="00B8517F" w:rsidRDefault="00B8517F" w:rsidP="00B8517F">
      <w:pPr>
        <w:pStyle w:val="23"/>
        <w:tabs>
          <w:tab w:val="left" w:pos="9781"/>
        </w:tabs>
        <w:spacing w:after="0" w:line="270" w:lineRule="exact"/>
        <w:ind w:left="0" w:firstLine="567"/>
        <w:jc w:val="both"/>
        <w:rPr>
          <w:rFonts w:ascii="Times New Roman" w:hAnsi="Times New Roman" w:cs="Times New Roman"/>
          <w:sz w:val="24"/>
          <w:szCs w:val="24"/>
        </w:rPr>
      </w:pPr>
      <w:r w:rsidRPr="00B8517F">
        <w:rPr>
          <w:rFonts w:ascii="Times New Roman" w:hAnsi="Times New Roman" w:cs="Times New Roman"/>
          <w:sz w:val="24"/>
          <w:szCs w:val="24"/>
        </w:rPr>
        <w:t>Крім того, існує ризик зростання обсягу державного боргу, спричинений здійсненням понадпланових державних запозичень. Так, частка державних банків в банківському секторі України становить 55,9% загальних активів сектору станом на кінець 2020 року, що являє собою ризик додаткових зобов’язань, які можуть виникнути в разі настання їх неплатоспроможності. Ризик додаткових зобов’язань може бути також зумовлений необхідністю додаткової капіталізації Фонду гарантування вкладів фізичних осіб, яка може мати місце в разі банкрутства комерційних банків, а також капіталізації державних компаній.</w:t>
      </w:r>
    </w:p>
    <w:p w:rsidR="00B8517F" w:rsidRPr="00B8517F" w:rsidRDefault="00B8517F" w:rsidP="00B8517F">
      <w:pPr>
        <w:pStyle w:val="Aff5"/>
        <w:spacing w:before="0" w:after="0" w:line="270" w:lineRule="exact"/>
        <w:ind w:firstLine="567"/>
        <w:jc w:val="both"/>
        <w:rPr>
          <w:lang w:val="uk-UA"/>
        </w:rPr>
      </w:pPr>
      <w:r w:rsidRPr="00B8517F">
        <w:rPr>
          <w:lang w:val="uk-UA"/>
        </w:rPr>
        <w:t xml:space="preserve">Станом на 31.12.2020 гарантований державою борг України становив </w:t>
      </w:r>
      <w:r w:rsidRPr="00B8517F">
        <w:rPr>
          <w:bCs/>
          <w:lang w:val="uk-UA"/>
        </w:rPr>
        <w:t>292,65 </w:t>
      </w:r>
      <w:r w:rsidRPr="00B8517F">
        <w:rPr>
          <w:lang w:val="uk-UA"/>
        </w:rPr>
        <w:t>млрд грн (</w:t>
      </w:r>
      <w:r w:rsidRPr="00B8517F">
        <w:rPr>
          <w:bCs/>
          <w:lang w:val="uk-UA"/>
        </w:rPr>
        <w:t xml:space="preserve">11,47% </w:t>
      </w:r>
      <w:r w:rsidRPr="00B8517F">
        <w:rPr>
          <w:lang w:val="uk-UA"/>
        </w:rPr>
        <w:t xml:space="preserve">від загальної суми державного та гарантованого державою боргу) або </w:t>
      </w:r>
      <w:r w:rsidRPr="00B8517F">
        <w:rPr>
          <w:bCs/>
          <w:lang w:val="uk-UA"/>
        </w:rPr>
        <w:t xml:space="preserve">10,35 </w:t>
      </w:r>
      <w:r w:rsidRPr="00B8517F">
        <w:rPr>
          <w:lang w:val="uk-UA"/>
        </w:rPr>
        <w:t xml:space="preserve">млрд </w:t>
      </w:r>
      <w:proofErr w:type="spellStart"/>
      <w:r w:rsidRPr="00B8517F">
        <w:rPr>
          <w:lang w:val="uk-UA"/>
        </w:rPr>
        <w:t>дол</w:t>
      </w:r>
      <w:proofErr w:type="spellEnd"/>
      <w:r w:rsidRPr="00B8517F">
        <w:rPr>
          <w:lang w:val="uk-UA"/>
        </w:rPr>
        <w:t xml:space="preserve">. США, в тому числі: гарантований державою зовнішній борг – </w:t>
      </w:r>
      <w:r w:rsidRPr="00B8517F">
        <w:rPr>
          <w:bCs/>
          <w:lang w:val="uk-UA"/>
        </w:rPr>
        <w:t xml:space="preserve">260,41 </w:t>
      </w:r>
      <w:r w:rsidRPr="00B8517F">
        <w:rPr>
          <w:lang w:val="uk-UA"/>
        </w:rPr>
        <w:t>млрд грн (</w:t>
      </w:r>
      <w:r w:rsidRPr="00B8517F">
        <w:rPr>
          <w:bCs/>
          <w:lang w:val="uk-UA"/>
        </w:rPr>
        <w:t xml:space="preserve">10,20% </w:t>
      </w:r>
      <w:r w:rsidRPr="00B8517F">
        <w:rPr>
          <w:lang w:val="uk-UA"/>
        </w:rPr>
        <w:t xml:space="preserve">від загальної суми державного та гарантованого державою боргу), або </w:t>
      </w:r>
      <w:r w:rsidRPr="00B8517F">
        <w:rPr>
          <w:bCs/>
          <w:lang w:val="uk-UA"/>
        </w:rPr>
        <w:t xml:space="preserve">9,21 </w:t>
      </w:r>
      <w:r w:rsidRPr="00B8517F">
        <w:rPr>
          <w:lang w:val="uk-UA"/>
        </w:rPr>
        <w:t xml:space="preserve">млрд </w:t>
      </w:r>
      <w:proofErr w:type="spellStart"/>
      <w:r w:rsidRPr="00B8517F">
        <w:rPr>
          <w:lang w:val="uk-UA"/>
        </w:rPr>
        <w:t>дол</w:t>
      </w:r>
      <w:proofErr w:type="spellEnd"/>
      <w:r w:rsidRPr="00B8517F">
        <w:rPr>
          <w:lang w:val="uk-UA"/>
        </w:rPr>
        <w:t xml:space="preserve">. США; гарантований державою внутрішній борг – </w:t>
      </w:r>
      <w:r w:rsidRPr="00B8517F">
        <w:rPr>
          <w:bCs/>
          <w:lang w:val="uk-UA"/>
        </w:rPr>
        <w:t xml:space="preserve">32,24 </w:t>
      </w:r>
      <w:r w:rsidRPr="00B8517F">
        <w:rPr>
          <w:lang w:val="uk-UA"/>
        </w:rPr>
        <w:t>млрд грн (</w:t>
      </w:r>
      <w:r w:rsidRPr="00B8517F">
        <w:rPr>
          <w:bCs/>
          <w:lang w:val="uk-UA"/>
        </w:rPr>
        <w:t xml:space="preserve">1,26% </w:t>
      </w:r>
      <w:r w:rsidRPr="00B8517F">
        <w:rPr>
          <w:lang w:val="uk-UA"/>
        </w:rPr>
        <w:t xml:space="preserve">від загальної суми державного та гарантованого державою боргу), або </w:t>
      </w:r>
      <w:r w:rsidRPr="00B8517F">
        <w:rPr>
          <w:bCs/>
          <w:lang w:val="uk-UA"/>
        </w:rPr>
        <w:t xml:space="preserve">1,14 </w:t>
      </w:r>
      <w:r w:rsidRPr="00B8517F">
        <w:rPr>
          <w:lang w:val="uk-UA"/>
        </w:rPr>
        <w:t xml:space="preserve">млрд </w:t>
      </w:r>
      <w:proofErr w:type="spellStart"/>
      <w:r w:rsidRPr="00B8517F">
        <w:rPr>
          <w:lang w:val="uk-UA"/>
        </w:rPr>
        <w:t>дол</w:t>
      </w:r>
      <w:proofErr w:type="spellEnd"/>
      <w:r w:rsidRPr="00B8517F">
        <w:rPr>
          <w:lang w:val="uk-UA"/>
        </w:rPr>
        <w:t xml:space="preserve">. США. </w:t>
      </w:r>
    </w:p>
    <w:p w:rsidR="00B8517F" w:rsidRPr="00B8517F" w:rsidRDefault="00B8517F" w:rsidP="00B8517F">
      <w:pPr>
        <w:pStyle w:val="Aff5"/>
        <w:spacing w:before="0" w:after="0" w:line="270" w:lineRule="exact"/>
        <w:ind w:firstLine="567"/>
        <w:jc w:val="both"/>
        <w:rPr>
          <w:lang w:val="uk-UA"/>
        </w:rPr>
      </w:pPr>
      <w:r w:rsidRPr="00B8517F">
        <w:rPr>
          <w:lang w:val="uk-UA"/>
        </w:rPr>
        <w:t xml:space="preserve">Фактично протягом 2020 року надано державних гарантій на суму </w:t>
      </w:r>
      <w:r w:rsidRPr="00B8517F">
        <w:rPr>
          <w:bCs/>
          <w:lang w:val="uk-UA"/>
        </w:rPr>
        <w:t>48,5</w:t>
      </w:r>
      <w:r w:rsidRPr="00B8517F">
        <w:rPr>
          <w:lang w:val="uk-UA"/>
        </w:rPr>
        <w:t xml:space="preserve"> млрд грн, в тому числі за зобов’язаннями </w:t>
      </w:r>
      <w:proofErr w:type="spellStart"/>
      <w:r w:rsidRPr="00B8517F">
        <w:rPr>
          <w:lang w:val="uk-UA"/>
        </w:rPr>
        <w:t>Укравтодору</w:t>
      </w:r>
      <w:proofErr w:type="spellEnd"/>
      <w:r w:rsidRPr="00B8517F">
        <w:rPr>
          <w:lang w:val="uk-UA"/>
        </w:rPr>
        <w:t xml:space="preserve"> на суму 23,5 млрд грн, Державної іпотечної установи – 3,0 млрд грн, ДП «Антонов» – 3,0 млрд грн, ПАТ «НЕК» Укренерго» – 15,1 млрд грн, за зобов’язаннями суб’єктів господарювання </w:t>
      </w:r>
      <w:proofErr w:type="spellStart"/>
      <w:r w:rsidRPr="00B8517F">
        <w:rPr>
          <w:lang w:val="uk-UA"/>
        </w:rPr>
        <w:t>мікропідприємництва</w:t>
      </w:r>
      <w:proofErr w:type="spellEnd"/>
      <w:r w:rsidRPr="00B8517F">
        <w:rPr>
          <w:lang w:val="uk-UA"/>
        </w:rPr>
        <w:t>, малого та/або середнього підприємництва під часткову державну гарантію на портфельній основі – 3,9 млрд гривень.</w:t>
      </w:r>
    </w:p>
    <w:p w:rsidR="00B8517F" w:rsidRPr="00B8517F" w:rsidRDefault="00B8517F" w:rsidP="00B8517F">
      <w:pPr>
        <w:pStyle w:val="Aff5"/>
        <w:spacing w:before="0" w:after="0" w:line="270" w:lineRule="exact"/>
        <w:ind w:firstLine="567"/>
        <w:jc w:val="both"/>
        <w:rPr>
          <w:lang w:val="uk-UA"/>
        </w:rPr>
      </w:pPr>
      <w:r w:rsidRPr="00B8517F">
        <w:rPr>
          <w:lang w:val="uk-UA"/>
        </w:rPr>
        <w:t>У 2020 році за рахунок коштів загального фонду здійснено витрати, пов’язані з виконанням державою гарантійних зобов’язань, в сумі 905,01 млн грн, в тому числі:</w:t>
      </w:r>
    </w:p>
    <w:p w:rsidR="00B8517F" w:rsidRPr="00B8517F" w:rsidRDefault="00B8517F" w:rsidP="00B8517F">
      <w:pPr>
        <w:pStyle w:val="Aff5"/>
        <w:spacing w:before="0" w:after="0" w:line="270" w:lineRule="exact"/>
        <w:ind w:firstLine="567"/>
        <w:jc w:val="both"/>
        <w:rPr>
          <w:lang w:val="uk-UA"/>
        </w:rPr>
      </w:pPr>
      <w:r w:rsidRPr="00B8517F">
        <w:rPr>
          <w:lang w:val="uk-UA"/>
        </w:rPr>
        <w:t>˗</w:t>
      </w:r>
      <w:r w:rsidRPr="00B8517F">
        <w:rPr>
          <w:lang w:val="uk-UA"/>
        </w:rPr>
        <w:tab/>
        <w:t>за зобов’язаннями ПАТ «</w:t>
      </w:r>
      <w:proofErr w:type="spellStart"/>
      <w:r w:rsidRPr="00B8517F">
        <w:rPr>
          <w:lang w:val="uk-UA"/>
        </w:rPr>
        <w:t>Лисичанськвугілля</w:t>
      </w:r>
      <w:proofErr w:type="spellEnd"/>
      <w:r w:rsidRPr="00B8517F">
        <w:rPr>
          <w:lang w:val="uk-UA"/>
        </w:rPr>
        <w:t xml:space="preserve">» – 603,8 млн грн (або 21,6 млн </w:t>
      </w:r>
      <w:proofErr w:type="spellStart"/>
      <w:r w:rsidRPr="00B8517F">
        <w:rPr>
          <w:lang w:val="uk-UA"/>
        </w:rPr>
        <w:t>дол</w:t>
      </w:r>
      <w:proofErr w:type="spellEnd"/>
      <w:r w:rsidRPr="00B8517F">
        <w:rPr>
          <w:lang w:val="uk-UA"/>
        </w:rPr>
        <w:t>. США);</w:t>
      </w:r>
    </w:p>
    <w:p w:rsidR="00B8517F" w:rsidRPr="00B8517F" w:rsidRDefault="00B8517F" w:rsidP="00B8517F">
      <w:pPr>
        <w:pStyle w:val="Aff5"/>
        <w:spacing w:before="0" w:after="0" w:line="270" w:lineRule="exact"/>
        <w:ind w:firstLine="567"/>
        <w:jc w:val="both"/>
        <w:rPr>
          <w:lang w:val="uk-UA"/>
        </w:rPr>
      </w:pPr>
      <w:r w:rsidRPr="00B8517F">
        <w:rPr>
          <w:lang w:val="uk-UA"/>
        </w:rPr>
        <w:t>˗</w:t>
      </w:r>
      <w:r w:rsidRPr="00B8517F">
        <w:rPr>
          <w:lang w:val="uk-UA"/>
        </w:rPr>
        <w:tab/>
        <w:t>за зобов’язаннями ПрАТ «Кузня на Рибальському» – 301,3 млн гривень.</w:t>
      </w:r>
    </w:p>
    <w:p w:rsidR="00B8517F" w:rsidRPr="00B8517F" w:rsidRDefault="00B8517F" w:rsidP="00B8517F">
      <w:pPr>
        <w:pStyle w:val="Aff5"/>
        <w:spacing w:before="0" w:after="0" w:line="270" w:lineRule="exact"/>
        <w:ind w:firstLine="567"/>
        <w:jc w:val="both"/>
        <w:rPr>
          <w:lang w:val="uk-UA"/>
        </w:rPr>
      </w:pPr>
      <w:r w:rsidRPr="00B8517F">
        <w:rPr>
          <w:lang w:val="uk-UA"/>
        </w:rPr>
        <w:t xml:space="preserve">Законом України «Про Державний бюджет України на 2021 рік» планові витрати, пов’язані з виконанням державою гарантійних зобов’язань, визначено в сумі 4 902,1 млн гривень, зокрема за позиками, залученими ДП «Київський бронетанковий завод» – 82,6 млн грн, </w:t>
      </w:r>
      <w:r w:rsidRPr="00B8517F">
        <w:rPr>
          <w:lang w:val="uk-UA"/>
        </w:rPr>
        <w:br/>
        <w:t xml:space="preserve">ДП «Шепетівський ремонтний завод» – 287,1 млн грн, ДП «Житомирський бронетанковий завод» 895,4 млн грн, ДП «Львівський бронетанковий завод» – 267,6 млн грн, ПрАТ «Кузня на Рибальському» – 43,1 млн грн, ПАТ «Державна </w:t>
      </w:r>
      <w:proofErr w:type="spellStart"/>
      <w:r w:rsidRPr="00B8517F">
        <w:rPr>
          <w:lang w:val="uk-UA"/>
        </w:rPr>
        <w:t>продовольчо</w:t>
      </w:r>
      <w:proofErr w:type="spellEnd"/>
      <w:r w:rsidRPr="00B8517F">
        <w:rPr>
          <w:lang w:val="uk-UA"/>
        </w:rPr>
        <w:t>-зернова корпорація України» – 3 326,3 млн гривень.</w:t>
      </w:r>
    </w:p>
    <w:p w:rsidR="00B8517F" w:rsidRPr="00B8517F" w:rsidRDefault="00B8517F" w:rsidP="00B8517F">
      <w:pPr>
        <w:pStyle w:val="Aff5"/>
        <w:spacing w:before="0" w:after="0" w:line="270" w:lineRule="exact"/>
        <w:ind w:firstLine="567"/>
        <w:jc w:val="both"/>
        <w:rPr>
          <w:lang w:val="uk-UA"/>
        </w:rPr>
      </w:pPr>
      <w:r w:rsidRPr="00B8517F">
        <w:rPr>
          <w:lang w:val="uk-UA"/>
        </w:rPr>
        <w:t>На 2022 – 2024 роки витрати, пов’язані з виконанням державою гарантійних зобов’язань, прогнозуються в таких обсягах:</w:t>
      </w:r>
    </w:p>
    <w:p w:rsidR="00B8517F" w:rsidRPr="00E7332F" w:rsidRDefault="00B8517F" w:rsidP="00B8517F">
      <w:pPr>
        <w:pStyle w:val="Aff5"/>
        <w:spacing w:before="0" w:after="0"/>
        <w:ind w:firstLine="567"/>
        <w:jc w:val="right"/>
        <w:rPr>
          <w:i/>
          <w:color w:val="000000" w:themeColor="text1"/>
          <w:sz w:val="22"/>
          <w:lang w:val="uk-UA"/>
        </w:rPr>
      </w:pPr>
      <w:r w:rsidRPr="00E7332F">
        <w:rPr>
          <w:i/>
          <w:color w:val="000000" w:themeColor="text1"/>
          <w:sz w:val="22"/>
          <w:lang w:val="uk-UA"/>
        </w:rPr>
        <w:t>(тис гривень)</w:t>
      </w:r>
    </w:p>
    <w:tbl>
      <w:tblPr>
        <w:tblW w:w="5080" w:type="pct"/>
        <w:tblLayout w:type="fixed"/>
        <w:tblLook w:val="04A0" w:firstRow="1" w:lastRow="0" w:firstColumn="1" w:lastColumn="0" w:noHBand="0" w:noVBand="1"/>
      </w:tblPr>
      <w:tblGrid>
        <w:gridCol w:w="5392"/>
        <w:gridCol w:w="1458"/>
        <w:gridCol w:w="1462"/>
        <w:gridCol w:w="1758"/>
      </w:tblGrid>
      <w:tr w:rsidR="00B8517F" w:rsidRPr="00E7332F" w:rsidTr="00FE1030">
        <w:trPr>
          <w:trHeight w:val="360"/>
        </w:trPr>
        <w:tc>
          <w:tcPr>
            <w:tcW w:w="267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B8517F" w:rsidRPr="00E7332F" w:rsidRDefault="00B8517F" w:rsidP="00FE1030">
            <w:pPr>
              <w:spacing w:after="0" w:line="240" w:lineRule="auto"/>
              <w:jc w:val="center"/>
              <w:rPr>
                <w:rFonts w:ascii="Times New Roman" w:eastAsia="Times New Roman" w:hAnsi="Times New Roman" w:cs="Times New Roman"/>
                <w:b/>
                <w:bCs/>
                <w:color w:val="000000"/>
                <w:sz w:val="20"/>
                <w:szCs w:val="24"/>
                <w:lang w:eastAsia="uk-UA"/>
              </w:rPr>
            </w:pPr>
            <w:r w:rsidRPr="00E7332F">
              <w:rPr>
                <w:rFonts w:ascii="Times New Roman" w:eastAsia="Times New Roman" w:hAnsi="Times New Roman" w:cs="Times New Roman"/>
                <w:b/>
                <w:bCs/>
                <w:color w:val="000000"/>
                <w:sz w:val="20"/>
                <w:szCs w:val="24"/>
                <w:lang w:eastAsia="uk-UA"/>
              </w:rPr>
              <w:t>Назва підприємства</w:t>
            </w:r>
          </w:p>
        </w:tc>
        <w:tc>
          <w:tcPr>
            <w:tcW w:w="724" w:type="pct"/>
            <w:tcBorders>
              <w:top w:val="single" w:sz="4" w:space="0" w:color="auto"/>
              <w:left w:val="nil"/>
              <w:bottom w:val="single" w:sz="4" w:space="0" w:color="auto"/>
              <w:right w:val="single" w:sz="4" w:space="0" w:color="auto"/>
            </w:tcBorders>
            <w:shd w:val="clear" w:color="000000" w:fill="FFFFFF"/>
            <w:vAlign w:val="center"/>
            <w:hideMark/>
          </w:tcPr>
          <w:p w:rsidR="00B8517F" w:rsidRPr="00E7332F" w:rsidRDefault="00B8517F" w:rsidP="00FE1030">
            <w:pPr>
              <w:spacing w:after="0" w:line="240" w:lineRule="auto"/>
              <w:jc w:val="center"/>
              <w:rPr>
                <w:rFonts w:ascii="Times New Roman" w:eastAsia="Times New Roman" w:hAnsi="Times New Roman" w:cs="Times New Roman"/>
                <w:b/>
                <w:bCs/>
                <w:i/>
                <w:iCs/>
                <w:sz w:val="20"/>
                <w:szCs w:val="24"/>
                <w:lang w:eastAsia="uk-UA"/>
              </w:rPr>
            </w:pPr>
            <w:r w:rsidRPr="00E7332F">
              <w:rPr>
                <w:rFonts w:ascii="Times New Roman" w:eastAsia="Times New Roman" w:hAnsi="Times New Roman" w:cs="Times New Roman"/>
                <w:b/>
                <w:bCs/>
                <w:i/>
                <w:iCs/>
                <w:sz w:val="20"/>
                <w:szCs w:val="24"/>
                <w:lang w:eastAsia="uk-UA"/>
              </w:rPr>
              <w:t>2022</w:t>
            </w:r>
          </w:p>
        </w:tc>
        <w:tc>
          <w:tcPr>
            <w:tcW w:w="726" w:type="pct"/>
            <w:tcBorders>
              <w:top w:val="single" w:sz="4" w:space="0" w:color="auto"/>
              <w:left w:val="nil"/>
              <w:bottom w:val="single" w:sz="4" w:space="0" w:color="auto"/>
              <w:right w:val="single" w:sz="4" w:space="0" w:color="auto"/>
            </w:tcBorders>
            <w:shd w:val="clear" w:color="000000" w:fill="FFFFFF"/>
            <w:vAlign w:val="center"/>
            <w:hideMark/>
          </w:tcPr>
          <w:p w:rsidR="00B8517F" w:rsidRPr="00E7332F" w:rsidRDefault="00B8517F" w:rsidP="00FE1030">
            <w:pPr>
              <w:spacing w:after="0" w:line="240" w:lineRule="auto"/>
              <w:jc w:val="center"/>
              <w:rPr>
                <w:rFonts w:ascii="Times New Roman" w:eastAsia="Times New Roman" w:hAnsi="Times New Roman" w:cs="Times New Roman"/>
                <w:b/>
                <w:bCs/>
                <w:i/>
                <w:iCs/>
                <w:sz w:val="20"/>
                <w:szCs w:val="24"/>
                <w:lang w:eastAsia="uk-UA"/>
              </w:rPr>
            </w:pPr>
            <w:r w:rsidRPr="00E7332F">
              <w:rPr>
                <w:rFonts w:ascii="Times New Roman" w:eastAsia="Times New Roman" w:hAnsi="Times New Roman" w:cs="Times New Roman"/>
                <w:b/>
                <w:bCs/>
                <w:i/>
                <w:iCs/>
                <w:sz w:val="20"/>
                <w:szCs w:val="24"/>
                <w:lang w:eastAsia="uk-UA"/>
              </w:rPr>
              <w:t>2023</w:t>
            </w:r>
          </w:p>
        </w:tc>
        <w:tc>
          <w:tcPr>
            <w:tcW w:w="873" w:type="pct"/>
            <w:tcBorders>
              <w:top w:val="single" w:sz="4" w:space="0" w:color="auto"/>
              <w:left w:val="nil"/>
              <w:bottom w:val="single" w:sz="4" w:space="0" w:color="auto"/>
              <w:right w:val="single" w:sz="4" w:space="0" w:color="auto"/>
            </w:tcBorders>
            <w:shd w:val="clear" w:color="000000" w:fill="FFFFFF"/>
            <w:vAlign w:val="center"/>
            <w:hideMark/>
          </w:tcPr>
          <w:p w:rsidR="00B8517F" w:rsidRPr="00E7332F" w:rsidRDefault="00B8517F" w:rsidP="00FE1030">
            <w:pPr>
              <w:spacing w:after="0" w:line="240" w:lineRule="auto"/>
              <w:jc w:val="center"/>
              <w:rPr>
                <w:rFonts w:ascii="Times New Roman" w:eastAsia="Times New Roman" w:hAnsi="Times New Roman" w:cs="Times New Roman"/>
                <w:b/>
                <w:bCs/>
                <w:i/>
                <w:iCs/>
                <w:sz w:val="20"/>
                <w:szCs w:val="24"/>
                <w:lang w:eastAsia="uk-UA"/>
              </w:rPr>
            </w:pPr>
            <w:r w:rsidRPr="00E7332F">
              <w:rPr>
                <w:rFonts w:ascii="Times New Roman" w:eastAsia="Times New Roman" w:hAnsi="Times New Roman" w:cs="Times New Roman"/>
                <w:b/>
                <w:bCs/>
                <w:i/>
                <w:iCs/>
                <w:sz w:val="20"/>
                <w:szCs w:val="24"/>
                <w:lang w:eastAsia="uk-UA"/>
              </w:rPr>
              <w:t>2024</w:t>
            </w:r>
          </w:p>
        </w:tc>
      </w:tr>
      <w:tr w:rsidR="00B8517F" w:rsidRPr="00E7332F" w:rsidTr="00FE1030">
        <w:trPr>
          <w:trHeight w:val="317"/>
        </w:trPr>
        <w:tc>
          <w:tcPr>
            <w:tcW w:w="2676" w:type="pct"/>
            <w:tcBorders>
              <w:top w:val="nil"/>
              <w:left w:val="single" w:sz="4" w:space="0" w:color="auto"/>
              <w:bottom w:val="single" w:sz="4" w:space="0" w:color="auto"/>
              <w:right w:val="single" w:sz="4" w:space="0" w:color="auto"/>
            </w:tcBorders>
            <w:shd w:val="clear" w:color="auto" w:fill="auto"/>
            <w:vAlign w:val="center"/>
            <w:hideMark/>
          </w:tcPr>
          <w:p w:rsidR="00B8517F" w:rsidRPr="00E7332F" w:rsidRDefault="00B8517F" w:rsidP="00FE1030">
            <w:pPr>
              <w:spacing w:after="0" w:line="240" w:lineRule="auto"/>
              <w:rPr>
                <w:rFonts w:ascii="Times New Roman" w:eastAsia="Times New Roman" w:hAnsi="Times New Roman" w:cs="Times New Roman"/>
                <w:b/>
                <w:bCs/>
                <w:color w:val="000000"/>
                <w:sz w:val="20"/>
                <w:szCs w:val="24"/>
                <w:lang w:eastAsia="uk-UA"/>
              </w:rPr>
            </w:pPr>
          </w:p>
        </w:tc>
        <w:tc>
          <w:tcPr>
            <w:tcW w:w="724" w:type="pct"/>
            <w:tcBorders>
              <w:top w:val="nil"/>
              <w:left w:val="nil"/>
              <w:bottom w:val="single" w:sz="4" w:space="0" w:color="auto"/>
              <w:right w:val="single" w:sz="4" w:space="0" w:color="auto"/>
            </w:tcBorders>
            <w:shd w:val="clear" w:color="auto" w:fill="auto"/>
            <w:vAlign w:val="center"/>
            <w:hideMark/>
          </w:tcPr>
          <w:p w:rsidR="00B8517F" w:rsidRPr="00E7332F" w:rsidRDefault="00B8517F" w:rsidP="00FE1030">
            <w:pPr>
              <w:spacing w:after="0" w:line="240" w:lineRule="auto"/>
              <w:jc w:val="right"/>
              <w:rPr>
                <w:rFonts w:ascii="Times New Roman" w:eastAsia="Times New Roman" w:hAnsi="Times New Roman" w:cs="Times New Roman"/>
                <w:b/>
                <w:bCs/>
                <w:i/>
                <w:iCs/>
                <w:color w:val="000000"/>
                <w:sz w:val="20"/>
                <w:szCs w:val="24"/>
                <w:lang w:eastAsia="uk-UA"/>
              </w:rPr>
            </w:pPr>
            <w:r w:rsidRPr="00E7332F">
              <w:rPr>
                <w:rFonts w:ascii="Times New Roman" w:eastAsia="Times New Roman" w:hAnsi="Times New Roman" w:cs="Times New Roman"/>
                <w:b/>
                <w:bCs/>
                <w:i/>
                <w:iCs/>
                <w:color w:val="000000"/>
                <w:sz w:val="20"/>
                <w:szCs w:val="24"/>
                <w:lang w:eastAsia="uk-UA"/>
              </w:rPr>
              <w:t>6 919 016,0</w:t>
            </w:r>
          </w:p>
        </w:tc>
        <w:tc>
          <w:tcPr>
            <w:tcW w:w="726" w:type="pct"/>
            <w:tcBorders>
              <w:top w:val="nil"/>
              <w:left w:val="nil"/>
              <w:bottom w:val="single" w:sz="4" w:space="0" w:color="auto"/>
              <w:right w:val="single" w:sz="4" w:space="0" w:color="auto"/>
            </w:tcBorders>
            <w:shd w:val="clear" w:color="auto" w:fill="auto"/>
            <w:vAlign w:val="center"/>
            <w:hideMark/>
          </w:tcPr>
          <w:p w:rsidR="00B8517F" w:rsidRPr="00E7332F" w:rsidRDefault="00B8517F" w:rsidP="00FE1030">
            <w:pPr>
              <w:spacing w:after="0" w:line="240" w:lineRule="auto"/>
              <w:jc w:val="right"/>
              <w:rPr>
                <w:rFonts w:ascii="Times New Roman" w:eastAsia="Times New Roman" w:hAnsi="Times New Roman" w:cs="Times New Roman"/>
                <w:b/>
                <w:bCs/>
                <w:i/>
                <w:iCs/>
                <w:color w:val="000000"/>
                <w:sz w:val="20"/>
                <w:szCs w:val="24"/>
                <w:lang w:eastAsia="uk-UA"/>
              </w:rPr>
            </w:pPr>
            <w:r w:rsidRPr="00E7332F">
              <w:rPr>
                <w:rFonts w:ascii="Times New Roman" w:eastAsia="Times New Roman" w:hAnsi="Times New Roman" w:cs="Times New Roman"/>
                <w:b/>
                <w:bCs/>
                <w:i/>
                <w:iCs/>
                <w:color w:val="000000"/>
                <w:sz w:val="20"/>
                <w:szCs w:val="24"/>
                <w:lang w:eastAsia="uk-UA"/>
              </w:rPr>
              <w:t>6 622 670,2</w:t>
            </w:r>
          </w:p>
        </w:tc>
        <w:tc>
          <w:tcPr>
            <w:tcW w:w="873" w:type="pct"/>
            <w:tcBorders>
              <w:top w:val="nil"/>
              <w:left w:val="nil"/>
              <w:bottom w:val="single" w:sz="4" w:space="0" w:color="auto"/>
              <w:right w:val="single" w:sz="4" w:space="0" w:color="auto"/>
            </w:tcBorders>
            <w:shd w:val="clear" w:color="auto" w:fill="auto"/>
            <w:vAlign w:val="center"/>
            <w:hideMark/>
          </w:tcPr>
          <w:p w:rsidR="00B8517F" w:rsidRPr="00E7332F" w:rsidRDefault="00B8517F" w:rsidP="00FE1030">
            <w:pPr>
              <w:spacing w:after="0" w:line="240" w:lineRule="auto"/>
              <w:jc w:val="right"/>
              <w:rPr>
                <w:rFonts w:ascii="Times New Roman" w:eastAsia="Times New Roman" w:hAnsi="Times New Roman" w:cs="Times New Roman"/>
                <w:b/>
                <w:bCs/>
                <w:i/>
                <w:iCs/>
                <w:color w:val="000000"/>
                <w:sz w:val="20"/>
                <w:szCs w:val="24"/>
                <w:lang w:eastAsia="uk-UA"/>
              </w:rPr>
            </w:pPr>
            <w:r w:rsidRPr="00E7332F">
              <w:rPr>
                <w:rFonts w:ascii="Times New Roman" w:eastAsia="Times New Roman" w:hAnsi="Times New Roman" w:cs="Times New Roman"/>
                <w:b/>
                <w:bCs/>
                <w:i/>
                <w:iCs/>
                <w:color w:val="000000"/>
                <w:sz w:val="20"/>
                <w:szCs w:val="24"/>
                <w:lang w:eastAsia="uk-UA"/>
              </w:rPr>
              <w:t>7 314 442,0</w:t>
            </w:r>
          </w:p>
        </w:tc>
      </w:tr>
      <w:tr w:rsidR="00B8517F" w:rsidRPr="00E7332F" w:rsidTr="00FE1030">
        <w:trPr>
          <w:trHeight w:val="123"/>
        </w:trPr>
        <w:tc>
          <w:tcPr>
            <w:tcW w:w="2676" w:type="pct"/>
            <w:tcBorders>
              <w:top w:val="nil"/>
              <w:left w:val="single" w:sz="4" w:space="0" w:color="auto"/>
              <w:bottom w:val="single" w:sz="4" w:space="0" w:color="auto"/>
              <w:right w:val="single" w:sz="4" w:space="0" w:color="auto"/>
            </w:tcBorders>
            <w:shd w:val="clear" w:color="auto" w:fill="auto"/>
            <w:noWrap/>
            <w:vAlign w:val="bottom"/>
            <w:hideMark/>
          </w:tcPr>
          <w:p w:rsidR="00B8517F" w:rsidRPr="00E7332F" w:rsidRDefault="00B8517F" w:rsidP="00FE1030">
            <w:pPr>
              <w:spacing w:after="0" w:line="240" w:lineRule="auto"/>
              <w:rPr>
                <w:rFonts w:ascii="Times New Roman" w:eastAsia="Times New Roman" w:hAnsi="Times New Roman" w:cs="Times New Roman"/>
                <w:color w:val="000000"/>
                <w:sz w:val="20"/>
                <w:szCs w:val="24"/>
                <w:lang w:eastAsia="uk-UA"/>
              </w:rPr>
            </w:pPr>
            <w:r w:rsidRPr="00E7332F">
              <w:rPr>
                <w:rFonts w:ascii="Times New Roman" w:eastAsia="Times New Roman" w:hAnsi="Times New Roman" w:cs="Times New Roman"/>
                <w:color w:val="000000"/>
                <w:sz w:val="20"/>
                <w:szCs w:val="24"/>
                <w:lang w:eastAsia="uk-UA"/>
              </w:rPr>
              <w:t>Державна іпотечна установа</w:t>
            </w:r>
          </w:p>
        </w:tc>
        <w:tc>
          <w:tcPr>
            <w:tcW w:w="724" w:type="pct"/>
            <w:tcBorders>
              <w:top w:val="nil"/>
              <w:left w:val="nil"/>
              <w:bottom w:val="single" w:sz="4" w:space="0" w:color="auto"/>
              <w:right w:val="single" w:sz="4" w:space="0" w:color="auto"/>
            </w:tcBorders>
            <w:shd w:val="clear" w:color="auto" w:fill="auto"/>
            <w:noWrap/>
            <w:vAlign w:val="bottom"/>
            <w:hideMark/>
          </w:tcPr>
          <w:p w:rsidR="00B8517F" w:rsidRPr="00E7332F" w:rsidRDefault="00B8517F" w:rsidP="00FE1030">
            <w:pPr>
              <w:spacing w:after="0" w:line="240" w:lineRule="auto"/>
              <w:jc w:val="right"/>
              <w:rPr>
                <w:rFonts w:ascii="Times New Roman" w:eastAsia="Times New Roman" w:hAnsi="Times New Roman" w:cs="Times New Roman"/>
                <w:color w:val="000000"/>
                <w:sz w:val="20"/>
                <w:szCs w:val="24"/>
                <w:lang w:eastAsia="uk-UA"/>
              </w:rPr>
            </w:pPr>
            <w:r w:rsidRPr="00E7332F">
              <w:rPr>
                <w:rFonts w:ascii="Times New Roman" w:eastAsia="Times New Roman" w:hAnsi="Times New Roman" w:cs="Times New Roman"/>
                <w:color w:val="000000"/>
                <w:sz w:val="20"/>
                <w:szCs w:val="24"/>
                <w:lang w:eastAsia="uk-UA"/>
              </w:rPr>
              <w:t>271 862,1</w:t>
            </w:r>
          </w:p>
        </w:tc>
        <w:tc>
          <w:tcPr>
            <w:tcW w:w="726" w:type="pct"/>
            <w:tcBorders>
              <w:top w:val="nil"/>
              <w:left w:val="nil"/>
              <w:bottom w:val="single" w:sz="4" w:space="0" w:color="auto"/>
              <w:right w:val="single" w:sz="4" w:space="0" w:color="auto"/>
            </w:tcBorders>
            <w:shd w:val="clear" w:color="auto" w:fill="auto"/>
            <w:noWrap/>
            <w:vAlign w:val="bottom"/>
            <w:hideMark/>
          </w:tcPr>
          <w:p w:rsidR="00B8517F" w:rsidRPr="00E7332F" w:rsidRDefault="00B8517F" w:rsidP="00FE1030">
            <w:pPr>
              <w:spacing w:after="0" w:line="240" w:lineRule="auto"/>
              <w:jc w:val="right"/>
              <w:rPr>
                <w:rFonts w:ascii="Times New Roman" w:eastAsia="Times New Roman" w:hAnsi="Times New Roman" w:cs="Times New Roman"/>
                <w:color w:val="000000"/>
                <w:sz w:val="20"/>
                <w:szCs w:val="24"/>
                <w:lang w:eastAsia="uk-UA"/>
              </w:rPr>
            </w:pPr>
            <w:r w:rsidRPr="00E7332F">
              <w:rPr>
                <w:rFonts w:ascii="Times New Roman" w:eastAsia="Times New Roman" w:hAnsi="Times New Roman" w:cs="Times New Roman"/>
                <w:color w:val="000000"/>
                <w:sz w:val="20"/>
                <w:szCs w:val="24"/>
                <w:lang w:eastAsia="uk-UA"/>
              </w:rPr>
              <w:t>271 862,1</w:t>
            </w:r>
          </w:p>
        </w:tc>
        <w:tc>
          <w:tcPr>
            <w:tcW w:w="873" w:type="pct"/>
            <w:tcBorders>
              <w:top w:val="nil"/>
              <w:left w:val="nil"/>
              <w:bottom w:val="single" w:sz="4" w:space="0" w:color="auto"/>
              <w:right w:val="single" w:sz="4" w:space="0" w:color="auto"/>
            </w:tcBorders>
            <w:shd w:val="clear" w:color="auto" w:fill="auto"/>
            <w:noWrap/>
            <w:vAlign w:val="bottom"/>
            <w:hideMark/>
          </w:tcPr>
          <w:p w:rsidR="00B8517F" w:rsidRPr="00E7332F" w:rsidRDefault="00B8517F" w:rsidP="00FE1030">
            <w:pPr>
              <w:spacing w:after="0" w:line="240" w:lineRule="auto"/>
              <w:jc w:val="right"/>
              <w:rPr>
                <w:rFonts w:ascii="Times New Roman" w:eastAsia="Times New Roman" w:hAnsi="Times New Roman" w:cs="Times New Roman"/>
                <w:color w:val="000000"/>
                <w:sz w:val="20"/>
                <w:szCs w:val="24"/>
                <w:lang w:eastAsia="uk-UA"/>
              </w:rPr>
            </w:pPr>
            <w:r w:rsidRPr="00E7332F">
              <w:rPr>
                <w:rFonts w:ascii="Times New Roman" w:eastAsia="Times New Roman" w:hAnsi="Times New Roman" w:cs="Times New Roman"/>
                <w:color w:val="000000"/>
                <w:sz w:val="20"/>
                <w:szCs w:val="24"/>
                <w:lang w:eastAsia="uk-UA"/>
              </w:rPr>
              <w:t>1 271 862,1</w:t>
            </w:r>
          </w:p>
        </w:tc>
      </w:tr>
      <w:tr w:rsidR="00B8517F" w:rsidRPr="00E7332F" w:rsidTr="00FE1030">
        <w:trPr>
          <w:trHeight w:val="169"/>
        </w:trPr>
        <w:tc>
          <w:tcPr>
            <w:tcW w:w="2676" w:type="pct"/>
            <w:tcBorders>
              <w:top w:val="nil"/>
              <w:left w:val="single" w:sz="4" w:space="0" w:color="auto"/>
              <w:bottom w:val="single" w:sz="4" w:space="0" w:color="auto"/>
              <w:right w:val="single" w:sz="4" w:space="0" w:color="auto"/>
            </w:tcBorders>
            <w:shd w:val="clear" w:color="auto" w:fill="auto"/>
            <w:noWrap/>
            <w:vAlign w:val="bottom"/>
            <w:hideMark/>
          </w:tcPr>
          <w:p w:rsidR="00B8517F" w:rsidRPr="00E7332F" w:rsidRDefault="00B8517F" w:rsidP="00FE1030">
            <w:pPr>
              <w:spacing w:after="0" w:line="240" w:lineRule="auto"/>
              <w:rPr>
                <w:rFonts w:ascii="Times New Roman" w:eastAsia="Times New Roman" w:hAnsi="Times New Roman" w:cs="Times New Roman"/>
                <w:color w:val="000000"/>
                <w:sz w:val="20"/>
                <w:szCs w:val="24"/>
                <w:lang w:eastAsia="uk-UA"/>
              </w:rPr>
            </w:pPr>
            <w:r w:rsidRPr="00E7332F">
              <w:rPr>
                <w:rFonts w:ascii="Times New Roman" w:eastAsia="Times New Roman" w:hAnsi="Times New Roman" w:cs="Times New Roman"/>
                <w:color w:val="000000"/>
                <w:sz w:val="20"/>
                <w:szCs w:val="24"/>
                <w:lang w:eastAsia="uk-UA"/>
              </w:rPr>
              <w:t>ДП ДГЗП «</w:t>
            </w:r>
            <w:proofErr w:type="spellStart"/>
            <w:r w:rsidRPr="00E7332F">
              <w:rPr>
                <w:rFonts w:ascii="Times New Roman" w:eastAsia="Times New Roman" w:hAnsi="Times New Roman" w:cs="Times New Roman"/>
                <w:color w:val="000000"/>
                <w:sz w:val="20"/>
                <w:szCs w:val="24"/>
                <w:lang w:eastAsia="uk-UA"/>
              </w:rPr>
              <w:t>Спецтехноекспорт</w:t>
            </w:r>
            <w:proofErr w:type="spellEnd"/>
            <w:r w:rsidRPr="00E7332F">
              <w:rPr>
                <w:rFonts w:ascii="Times New Roman" w:eastAsia="Times New Roman" w:hAnsi="Times New Roman" w:cs="Times New Roman"/>
                <w:color w:val="000000"/>
                <w:sz w:val="20"/>
                <w:szCs w:val="24"/>
                <w:lang w:eastAsia="uk-UA"/>
              </w:rPr>
              <w:t>»</w:t>
            </w:r>
          </w:p>
        </w:tc>
        <w:tc>
          <w:tcPr>
            <w:tcW w:w="724" w:type="pct"/>
            <w:tcBorders>
              <w:top w:val="nil"/>
              <w:left w:val="nil"/>
              <w:bottom w:val="single" w:sz="4" w:space="0" w:color="auto"/>
              <w:right w:val="single" w:sz="4" w:space="0" w:color="auto"/>
            </w:tcBorders>
            <w:shd w:val="clear" w:color="auto" w:fill="auto"/>
            <w:noWrap/>
            <w:vAlign w:val="bottom"/>
            <w:hideMark/>
          </w:tcPr>
          <w:p w:rsidR="00B8517F" w:rsidRPr="00E7332F" w:rsidRDefault="00B8517F" w:rsidP="00FE1030">
            <w:pPr>
              <w:spacing w:after="0" w:line="240" w:lineRule="auto"/>
              <w:jc w:val="right"/>
              <w:rPr>
                <w:rFonts w:ascii="Times New Roman" w:eastAsia="Times New Roman" w:hAnsi="Times New Roman" w:cs="Times New Roman"/>
                <w:color w:val="000000"/>
                <w:sz w:val="20"/>
                <w:szCs w:val="24"/>
                <w:lang w:eastAsia="uk-UA"/>
              </w:rPr>
            </w:pPr>
            <w:r w:rsidRPr="00E7332F">
              <w:rPr>
                <w:rFonts w:ascii="Times New Roman" w:eastAsia="Times New Roman" w:hAnsi="Times New Roman" w:cs="Times New Roman"/>
                <w:color w:val="000000"/>
                <w:sz w:val="20"/>
                <w:szCs w:val="24"/>
                <w:lang w:eastAsia="uk-UA"/>
              </w:rPr>
              <w:t>309 041,9</w:t>
            </w:r>
          </w:p>
        </w:tc>
        <w:tc>
          <w:tcPr>
            <w:tcW w:w="726" w:type="pct"/>
            <w:tcBorders>
              <w:top w:val="nil"/>
              <w:left w:val="nil"/>
              <w:bottom w:val="single" w:sz="4" w:space="0" w:color="auto"/>
              <w:right w:val="single" w:sz="4" w:space="0" w:color="auto"/>
            </w:tcBorders>
            <w:shd w:val="clear" w:color="auto" w:fill="auto"/>
            <w:noWrap/>
            <w:vAlign w:val="bottom"/>
            <w:hideMark/>
          </w:tcPr>
          <w:p w:rsidR="00B8517F" w:rsidRPr="00E7332F" w:rsidRDefault="00B8517F" w:rsidP="00FE1030">
            <w:pPr>
              <w:spacing w:after="0" w:line="240" w:lineRule="auto"/>
              <w:jc w:val="right"/>
              <w:rPr>
                <w:rFonts w:ascii="Times New Roman" w:eastAsia="Times New Roman" w:hAnsi="Times New Roman" w:cs="Times New Roman"/>
                <w:color w:val="000000"/>
                <w:sz w:val="20"/>
                <w:szCs w:val="24"/>
                <w:lang w:eastAsia="uk-UA"/>
              </w:rPr>
            </w:pPr>
            <w:r w:rsidRPr="00E7332F">
              <w:rPr>
                <w:rFonts w:ascii="Times New Roman" w:eastAsia="Times New Roman" w:hAnsi="Times New Roman" w:cs="Times New Roman"/>
                <w:color w:val="000000"/>
                <w:sz w:val="20"/>
                <w:szCs w:val="24"/>
                <w:lang w:eastAsia="uk-UA"/>
              </w:rPr>
              <w:t>321 514,8</w:t>
            </w:r>
          </w:p>
        </w:tc>
        <w:tc>
          <w:tcPr>
            <w:tcW w:w="873" w:type="pct"/>
            <w:tcBorders>
              <w:top w:val="nil"/>
              <w:left w:val="nil"/>
              <w:bottom w:val="single" w:sz="4" w:space="0" w:color="auto"/>
              <w:right w:val="single" w:sz="4" w:space="0" w:color="auto"/>
            </w:tcBorders>
            <w:shd w:val="clear" w:color="auto" w:fill="auto"/>
            <w:noWrap/>
            <w:vAlign w:val="bottom"/>
            <w:hideMark/>
          </w:tcPr>
          <w:p w:rsidR="00B8517F" w:rsidRPr="00E7332F" w:rsidRDefault="00B8517F" w:rsidP="00FE1030">
            <w:pPr>
              <w:spacing w:after="0" w:line="240" w:lineRule="auto"/>
              <w:jc w:val="right"/>
              <w:rPr>
                <w:rFonts w:ascii="Times New Roman" w:eastAsia="Times New Roman" w:hAnsi="Times New Roman" w:cs="Times New Roman"/>
                <w:color w:val="000000"/>
                <w:sz w:val="20"/>
                <w:szCs w:val="24"/>
                <w:lang w:eastAsia="uk-UA"/>
              </w:rPr>
            </w:pPr>
            <w:r w:rsidRPr="00E7332F">
              <w:rPr>
                <w:rFonts w:ascii="Times New Roman" w:eastAsia="Times New Roman" w:hAnsi="Times New Roman" w:cs="Times New Roman"/>
                <w:color w:val="000000"/>
                <w:sz w:val="20"/>
                <w:szCs w:val="24"/>
                <w:lang w:eastAsia="uk-UA"/>
              </w:rPr>
              <w:t>323 565,2</w:t>
            </w:r>
          </w:p>
        </w:tc>
      </w:tr>
      <w:tr w:rsidR="00B8517F" w:rsidRPr="00E7332F" w:rsidTr="00FE1030">
        <w:trPr>
          <w:trHeight w:val="215"/>
        </w:trPr>
        <w:tc>
          <w:tcPr>
            <w:tcW w:w="2676" w:type="pct"/>
            <w:tcBorders>
              <w:top w:val="nil"/>
              <w:left w:val="single" w:sz="4" w:space="0" w:color="auto"/>
              <w:bottom w:val="single" w:sz="4" w:space="0" w:color="auto"/>
              <w:right w:val="single" w:sz="4" w:space="0" w:color="auto"/>
            </w:tcBorders>
            <w:shd w:val="clear" w:color="auto" w:fill="auto"/>
            <w:noWrap/>
            <w:vAlign w:val="bottom"/>
            <w:hideMark/>
          </w:tcPr>
          <w:p w:rsidR="00B8517F" w:rsidRPr="00E7332F" w:rsidRDefault="00B8517F" w:rsidP="00FE1030">
            <w:pPr>
              <w:spacing w:after="0" w:line="240" w:lineRule="auto"/>
              <w:ind w:right="-136"/>
              <w:rPr>
                <w:rFonts w:ascii="Times New Roman" w:eastAsia="Times New Roman" w:hAnsi="Times New Roman" w:cs="Times New Roman"/>
                <w:color w:val="000000"/>
                <w:sz w:val="20"/>
                <w:szCs w:val="24"/>
                <w:lang w:eastAsia="uk-UA"/>
              </w:rPr>
            </w:pPr>
            <w:r w:rsidRPr="00E7332F">
              <w:rPr>
                <w:rFonts w:ascii="Times New Roman" w:eastAsia="Times New Roman" w:hAnsi="Times New Roman" w:cs="Times New Roman"/>
                <w:color w:val="000000"/>
                <w:sz w:val="20"/>
                <w:szCs w:val="24"/>
                <w:lang w:eastAsia="uk-UA"/>
              </w:rPr>
              <w:t xml:space="preserve">ПАТ «Державна </w:t>
            </w:r>
            <w:proofErr w:type="spellStart"/>
            <w:r w:rsidRPr="00E7332F">
              <w:rPr>
                <w:rFonts w:ascii="Times New Roman" w:eastAsia="Times New Roman" w:hAnsi="Times New Roman" w:cs="Times New Roman"/>
                <w:color w:val="000000"/>
                <w:sz w:val="20"/>
                <w:szCs w:val="24"/>
                <w:lang w:eastAsia="uk-UA"/>
              </w:rPr>
              <w:t>продовольчо</w:t>
            </w:r>
            <w:proofErr w:type="spellEnd"/>
            <w:r w:rsidRPr="00E7332F">
              <w:rPr>
                <w:rFonts w:ascii="Times New Roman" w:eastAsia="Times New Roman" w:hAnsi="Times New Roman" w:cs="Times New Roman"/>
                <w:color w:val="000000"/>
                <w:sz w:val="20"/>
                <w:szCs w:val="24"/>
                <w:lang w:eastAsia="uk-UA"/>
              </w:rPr>
              <w:t>-зернова корпорація України»</w:t>
            </w:r>
          </w:p>
        </w:tc>
        <w:tc>
          <w:tcPr>
            <w:tcW w:w="724" w:type="pct"/>
            <w:tcBorders>
              <w:top w:val="nil"/>
              <w:left w:val="nil"/>
              <w:bottom w:val="single" w:sz="4" w:space="0" w:color="auto"/>
              <w:right w:val="single" w:sz="4" w:space="0" w:color="auto"/>
            </w:tcBorders>
            <w:shd w:val="clear" w:color="auto" w:fill="auto"/>
            <w:noWrap/>
            <w:vAlign w:val="bottom"/>
            <w:hideMark/>
          </w:tcPr>
          <w:p w:rsidR="00B8517F" w:rsidRPr="00E7332F" w:rsidRDefault="00B8517F" w:rsidP="00FE1030">
            <w:pPr>
              <w:spacing w:after="0" w:line="240" w:lineRule="auto"/>
              <w:jc w:val="right"/>
              <w:rPr>
                <w:rFonts w:ascii="Times New Roman" w:eastAsia="Times New Roman" w:hAnsi="Times New Roman" w:cs="Times New Roman"/>
                <w:color w:val="000000"/>
                <w:sz w:val="20"/>
                <w:szCs w:val="24"/>
                <w:lang w:eastAsia="uk-UA"/>
              </w:rPr>
            </w:pPr>
            <w:r w:rsidRPr="00E7332F">
              <w:rPr>
                <w:rFonts w:ascii="Times New Roman" w:eastAsia="Times New Roman" w:hAnsi="Times New Roman" w:cs="Times New Roman"/>
                <w:color w:val="000000"/>
                <w:sz w:val="20"/>
                <w:szCs w:val="24"/>
                <w:lang w:eastAsia="uk-UA"/>
              </w:rPr>
              <w:t>6 338 112,0</w:t>
            </w:r>
          </w:p>
        </w:tc>
        <w:tc>
          <w:tcPr>
            <w:tcW w:w="726" w:type="pct"/>
            <w:tcBorders>
              <w:top w:val="nil"/>
              <w:left w:val="nil"/>
              <w:bottom w:val="single" w:sz="4" w:space="0" w:color="auto"/>
              <w:right w:val="single" w:sz="4" w:space="0" w:color="auto"/>
            </w:tcBorders>
            <w:shd w:val="clear" w:color="auto" w:fill="auto"/>
            <w:noWrap/>
            <w:vAlign w:val="bottom"/>
            <w:hideMark/>
          </w:tcPr>
          <w:p w:rsidR="00B8517F" w:rsidRPr="00E7332F" w:rsidRDefault="00B8517F" w:rsidP="00FE1030">
            <w:pPr>
              <w:spacing w:after="0" w:line="240" w:lineRule="auto"/>
              <w:jc w:val="right"/>
              <w:rPr>
                <w:rFonts w:ascii="Times New Roman" w:eastAsia="Times New Roman" w:hAnsi="Times New Roman" w:cs="Times New Roman"/>
                <w:color w:val="000000"/>
                <w:sz w:val="20"/>
                <w:szCs w:val="24"/>
                <w:lang w:eastAsia="uk-UA"/>
              </w:rPr>
            </w:pPr>
            <w:r w:rsidRPr="00E7332F">
              <w:rPr>
                <w:rFonts w:ascii="Times New Roman" w:eastAsia="Times New Roman" w:hAnsi="Times New Roman" w:cs="Times New Roman"/>
                <w:color w:val="000000"/>
                <w:sz w:val="20"/>
                <w:szCs w:val="24"/>
                <w:lang w:eastAsia="uk-UA"/>
              </w:rPr>
              <w:t>6 029 293,3</w:t>
            </w:r>
          </w:p>
        </w:tc>
        <w:tc>
          <w:tcPr>
            <w:tcW w:w="873" w:type="pct"/>
            <w:tcBorders>
              <w:top w:val="nil"/>
              <w:left w:val="nil"/>
              <w:bottom w:val="single" w:sz="4" w:space="0" w:color="auto"/>
              <w:right w:val="single" w:sz="4" w:space="0" w:color="auto"/>
            </w:tcBorders>
            <w:shd w:val="clear" w:color="auto" w:fill="auto"/>
            <w:noWrap/>
            <w:vAlign w:val="bottom"/>
            <w:hideMark/>
          </w:tcPr>
          <w:p w:rsidR="00B8517F" w:rsidRPr="00E7332F" w:rsidRDefault="00B8517F" w:rsidP="00FE1030">
            <w:pPr>
              <w:spacing w:after="0" w:line="240" w:lineRule="auto"/>
              <w:jc w:val="right"/>
              <w:rPr>
                <w:rFonts w:ascii="Times New Roman" w:eastAsia="Times New Roman" w:hAnsi="Times New Roman" w:cs="Times New Roman"/>
                <w:color w:val="000000"/>
                <w:sz w:val="20"/>
                <w:szCs w:val="24"/>
                <w:lang w:eastAsia="uk-UA"/>
              </w:rPr>
            </w:pPr>
            <w:r w:rsidRPr="00E7332F">
              <w:rPr>
                <w:rFonts w:ascii="Times New Roman" w:eastAsia="Times New Roman" w:hAnsi="Times New Roman" w:cs="Times New Roman"/>
                <w:color w:val="000000"/>
                <w:sz w:val="20"/>
                <w:szCs w:val="24"/>
                <w:lang w:eastAsia="uk-UA"/>
              </w:rPr>
              <w:t>5 719 014,7</w:t>
            </w:r>
          </w:p>
        </w:tc>
      </w:tr>
    </w:tbl>
    <w:p w:rsidR="00802DDA" w:rsidRPr="00C47054" w:rsidRDefault="00970C0D" w:rsidP="00C20695">
      <w:pPr>
        <w:pStyle w:val="1"/>
        <w:spacing w:before="0" w:after="240"/>
        <w:jc w:val="center"/>
        <w:rPr>
          <w:b/>
          <w:sz w:val="28"/>
        </w:rPr>
      </w:pPr>
      <w:bookmarkStart w:id="4" w:name="_Toc82168986"/>
      <w:r w:rsidRPr="00B56764">
        <w:rPr>
          <w:b/>
          <w:sz w:val="28"/>
        </w:rPr>
        <w:t xml:space="preserve">ФІСКАЛЬНІ РИЗИКИ, ПОВ’ЯЗАНІ ІЗ ДІЯЛЬНІСТЮ </w:t>
      </w:r>
      <w:r w:rsidR="00802DDA" w:rsidRPr="00B56764">
        <w:rPr>
          <w:b/>
          <w:sz w:val="28"/>
        </w:rPr>
        <w:t>СУБ’ЄКТ</w:t>
      </w:r>
      <w:r w:rsidRPr="00B56764">
        <w:rPr>
          <w:b/>
          <w:sz w:val="28"/>
        </w:rPr>
        <w:t>ІВ</w:t>
      </w:r>
      <w:r w:rsidR="00802DDA" w:rsidRPr="00B56764">
        <w:rPr>
          <w:b/>
          <w:sz w:val="28"/>
        </w:rPr>
        <w:t xml:space="preserve"> ГОСПОДАРЮВАННЯ ДЕРЖАВНОГО СЕКТОРУ ЕКОНОМІКИ</w:t>
      </w:r>
      <w:bookmarkEnd w:id="4"/>
    </w:p>
    <w:p w:rsidR="0017703B" w:rsidRPr="00B56764" w:rsidRDefault="0017703B" w:rsidP="00EC6710">
      <w:pPr>
        <w:spacing w:before="240" w:after="120" w:line="240" w:lineRule="auto"/>
        <w:ind w:firstLine="567"/>
        <w:jc w:val="both"/>
        <w:rPr>
          <w:rFonts w:ascii="Times New Roman" w:eastAsia="Times New Roman" w:hAnsi="Times New Roman" w:cs="Times New Roman"/>
          <w:b/>
          <w:color w:val="000000" w:themeColor="text1"/>
          <w:sz w:val="24"/>
          <w:szCs w:val="24"/>
          <w:lang w:eastAsia="ru-RU"/>
        </w:rPr>
      </w:pPr>
      <w:r w:rsidRPr="00B56764">
        <w:rPr>
          <w:rFonts w:ascii="Times New Roman" w:eastAsia="Times New Roman" w:hAnsi="Times New Roman" w:cs="Times New Roman"/>
          <w:b/>
          <w:color w:val="000000" w:themeColor="text1"/>
          <w:sz w:val="24"/>
          <w:szCs w:val="24"/>
          <w:lang w:eastAsia="ru-RU"/>
        </w:rPr>
        <w:t>1. Оцінювання фіскальних ризиків, пов’язаних з діяльністю суб’єктів господарювання державного сектору економіки</w:t>
      </w:r>
    </w:p>
    <w:p w:rsidR="008A6574" w:rsidRPr="008A6574" w:rsidRDefault="008A6574" w:rsidP="008A6574">
      <w:pPr>
        <w:spacing w:after="120" w:line="240" w:lineRule="auto"/>
        <w:ind w:firstLine="567"/>
        <w:jc w:val="both"/>
        <w:rPr>
          <w:rFonts w:ascii="Times New Roman" w:eastAsia="Times New Roman" w:hAnsi="Times New Roman" w:cs="Times New Roman"/>
          <w:sz w:val="24"/>
          <w:szCs w:val="24"/>
          <w:lang w:eastAsia="ru-RU"/>
        </w:rPr>
      </w:pPr>
      <w:r w:rsidRPr="008A6574">
        <w:rPr>
          <w:rFonts w:ascii="Times New Roman" w:eastAsia="Times New Roman" w:hAnsi="Times New Roman" w:cs="Times New Roman"/>
          <w:sz w:val="24"/>
          <w:szCs w:val="24"/>
          <w:lang w:eastAsia="ru-RU"/>
        </w:rPr>
        <w:t>Станом на 01.01.2021, за даними Єдиного реєстру об’єктів державної власності в Україні, налічувалось 3 423 суб’єкти господарювання державного сектору економіки (державні підприємства, їх об’єднання, дочірні підприємства та господарські товариства, державна частка у статутному капіталі яких перевищує 50 %), у тому числі 179 суб’єктів знаходились на тимчасово окупованій території – Автономній Республіці Крим.</w:t>
      </w:r>
    </w:p>
    <w:p w:rsidR="0017703B" w:rsidRDefault="0017703B" w:rsidP="00B56764">
      <w:pPr>
        <w:spacing w:after="0" w:line="240" w:lineRule="auto"/>
        <w:jc w:val="both"/>
        <w:rPr>
          <w:color w:val="000000"/>
          <w:lang w:eastAsia="ru-RU"/>
        </w:rPr>
      </w:pPr>
      <w:r>
        <w:rPr>
          <w:noProof/>
          <w:lang w:eastAsia="uk-UA"/>
        </w:rPr>
        <w:drawing>
          <wp:inline distT="0" distB="0" distL="0" distR="0" wp14:anchorId="49E88719" wp14:editId="7893AB56">
            <wp:extent cx="6165215" cy="1341120"/>
            <wp:effectExtent l="0" t="0" r="6985" b="11430"/>
            <wp:docPr id="6" name="Діагра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8A6574" w:rsidRPr="008A6574" w:rsidRDefault="008A6574" w:rsidP="008A6574">
      <w:pPr>
        <w:spacing w:after="120" w:line="240" w:lineRule="auto"/>
        <w:jc w:val="both"/>
        <w:rPr>
          <w:rFonts w:ascii="Times New Roman" w:hAnsi="Times New Roman" w:cs="Times New Roman"/>
          <w:i/>
          <w:sz w:val="24"/>
          <w:szCs w:val="24"/>
        </w:rPr>
      </w:pPr>
      <w:r w:rsidRPr="008A6574">
        <w:rPr>
          <w:rFonts w:ascii="Times New Roman" w:hAnsi="Times New Roman" w:cs="Times New Roman"/>
          <w:i/>
          <w:sz w:val="24"/>
          <w:szCs w:val="24"/>
        </w:rPr>
        <w:t>Джерело: Фонд державного майна України.</w:t>
      </w:r>
    </w:p>
    <w:p w:rsidR="008A6574" w:rsidRPr="008A6574" w:rsidRDefault="008A6574" w:rsidP="008A6574">
      <w:pPr>
        <w:spacing w:after="0" w:line="240" w:lineRule="auto"/>
        <w:ind w:firstLine="567"/>
        <w:jc w:val="both"/>
        <w:rPr>
          <w:rFonts w:ascii="Times New Roman" w:eastAsia="Times New Roman" w:hAnsi="Times New Roman" w:cs="Times New Roman"/>
          <w:sz w:val="24"/>
          <w:szCs w:val="24"/>
          <w:lang w:eastAsia="ru-RU"/>
        </w:rPr>
      </w:pPr>
      <w:r w:rsidRPr="008A6574">
        <w:rPr>
          <w:rFonts w:ascii="Times New Roman" w:eastAsia="Times New Roman" w:hAnsi="Times New Roman" w:cs="Times New Roman"/>
          <w:sz w:val="24"/>
          <w:szCs w:val="24"/>
          <w:lang w:eastAsia="ru-RU"/>
        </w:rPr>
        <w:t>За результатами проведення Мінекономіки єдиного моніторингу ефективності управління об’єктами державної власності за 2020 рік, загальна кількість суб’єктів господарювання державного сектору економіки (далі – суб’єкти господарювання) без урахування 168 суб’єктів господарювання, що розташовані на тимчасово окупованій території – АР Крим та міста Севастополь, станом на 01.01.2021 становила 3 343, у тому числі: 1 458 – працюючі (з них прибуткові – 947, що на 116 менше порівняно із 2019 роком), 1 490 – непрацюючі (на 125 більше порівняно із 2019 роком), інформація про 395 суб’єкта господарювання відсутня.</w:t>
      </w:r>
    </w:p>
    <w:p w:rsidR="008A6574" w:rsidRPr="008A6574" w:rsidRDefault="008A6574" w:rsidP="008A6574">
      <w:pPr>
        <w:spacing w:after="120" w:line="240" w:lineRule="auto"/>
        <w:ind w:firstLine="567"/>
        <w:jc w:val="both"/>
        <w:rPr>
          <w:rFonts w:ascii="Times New Roman" w:eastAsia="Times New Roman" w:hAnsi="Times New Roman" w:cs="Times New Roman"/>
          <w:sz w:val="24"/>
          <w:szCs w:val="24"/>
          <w:lang w:eastAsia="ru-RU"/>
        </w:rPr>
      </w:pPr>
      <w:r w:rsidRPr="008A6574">
        <w:rPr>
          <w:rFonts w:ascii="Times New Roman" w:eastAsia="Times New Roman" w:hAnsi="Times New Roman" w:cs="Times New Roman"/>
          <w:sz w:val="24"/>
          <w:szCs w:val="24"/>
          <w:lang w:eastAsia="ru-RU"/>
        </w:rPr>
        <w:t>У стадіях банкрутства перебувало 213 суб’єктів господарювання, або 6,4% від загальної кількості суб’єктів господарювання державного сектору економіки.</w:t>
      </w:r>
    </w:p>
    <w:p w:rsidR="0017703B" w:rsidRDefault="0017703B" w:rsidP="00B56764">
      <w:pPr>
        <w:spacing w:after="0" w:line="240" w:lineRule="auto"/>
        <w:jc w:val="both"/>
      </w:pPr>
      <w:r>
        <w:rPr>
          <w:noProof/>
          <w:lang w:eastAsia="uk-UA"/>
        </w:rPr>
        <w:drawing>
          <wp:inline distT="0" distB="0" distL="0" distR="0" wp14:anchorId="5420F99A" wp14:editId="1014706D">
            <wp:extent cx="3422015" cy="1932709"/>
            <wp:effectExtent l="0" t="0" r="6985" b="10795"/>
            <wp:docPr id="1" name="Діагра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r>
        <w:rPr>
          <w:noProof/>
          <w:lang w:eastAsia="uk-UA"/>
        </w:rPr>
        <w:drawing>
          <wp:inline distT="0" distB="0" distL="0" distR="0" wp14:anchorId="7B29B327" wp14:editId="09CAC9CB">
            <wp:extent cx="2736215" cy="1939290"/>
            <wp:effectExtent l="0" t="0" r="6985" b="3810"/>
            <wp:docPr id="14" name="Діаграма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8A6574" w:rsidRPr="008A6574" w:rsidRDefault="008A6574" w:rsidP="008A6574">
      <w:pPr>
        <w:spacing w:after="120" w:line="240" w:lineRule="auto"/>
        <w:jc w:val="both"/>
        <w:rPr>
          <w:rFonts w:ascii="Times New Roman" w:hAnsi="Times New Roman" w:cs="Times New Roman"/>
          <w:i/>
          <w:sz w:val="24"/>
          <w:szCs w:val="24"/>
        </w:rPr>
      </w:pPr>
      <w:r w:rsidRPr="008A6574">
        <w:rPr>
          <w:rFonts w:ascii="Times New Roman" w:hAnsi="Times New Roman" w:cs="Times New Roman"/>
          <w:i/>
          <w:sz w:val="24"/>
          <w:szCs w:val="24"/>
        </w:rPr>
        <w:t>Джерело: Міністерство економіки України.</w:t>
      </w:r>
    </w:p>
    <w:p w:rsidR="008A6574" w:rsidRPr="008A6574" w:rsidRDefault="008A6574" w:rsidP="008A6574">
      <w:pPr>
        <w:pStyle w:val="af"/>
        <w:spacing w:before="0" w:beforeAutospacing="0" w:after="0" w:afterAutospacing="0"/>
        <w:ind w:firstLine="567"/>
        <w:jc w:val="both"/>
      </w:pPr>
      <w:r w:rsidRPr="008A6574">
        <w:t>Поширення у 2020 році хвороби COVID-19 та запровадження країнами відповідних карантинних заходів негативно вплинуло на економічну ситуацію в Україні та діяльність суб’єктів господарювання.</w:t>
      </w:r>
    </w:p>
    <w:p w:rsidR="008A6574" w:rsidRPr="008A6574" w:rsidRDefault="008A6574" w:rsidP="008A6574">
      <w:pPr>
        <w:pStyle w:val="af"/>
        <w:spacing w:before="0" w:beforeAutospacing="0" w:after="0" w:afterAutospacing="0"/>
        <w:ind w:firstLine="567"/>
        <w:jc w:val="both"/>
      </w:pPr>
      <w:r w:rsidRPr="008A6574">
        <w:t>Сумарний фінансовий результат діяльності суб’єктів господарювання у 2020 році становив 51,3 млрд грн збитку проти 52,1 млрд грн чистого прибутку у 2019 році.</w:t>
      </w:r>
    </w:p>
    <w:p w:rsidR="008A6574" w:rsidRPr="008A6574" w:rsidRDefault="008A6574" w:rsidP="008A6574">
      <w:pPr>
        <w:pStyle w:val="af"/>
        <w:spacing w:before="0" w:beforeAutospacing="0" w:after="0" w:afterAutospacing="0"/>
        <w:ind w:firstLine="567"/>
        <w:jc w:val="both"/>
      </w:pPr>
      <w:r w:rsidRPr="008A6574">
        <w:t>Найбільші розміри збитків отримали: НЕК «Укренерго» – 27,5 млрд грн (проти 1,9 млрд грн чистого прибутку у 2019 році) та НАК «Нафтогаз України» – 18,0 млрд грн (проти 50,7 млрд грн чистого прибутку у 2019 році).</w:t>
      </w:r>
    </w:p>
    <w:p w:rsidR="008A6574" w:rsidRPr="008A6574" w:rsidRDefault="008A6574" w:rsidP="008A6574">
      <w:pPr>
        <w:pStyle w:val="af"/>
        <w:spacing w:before="0" w:beforeAutospacing="0" w:after="0" w:afterAutospacing="0"/>
        <w:ind w:firstLine="567"/>
        <w:jc w:val="both"/>
      </w:pPr>
      <w:r w:rsidRPr="008A6574">
        <w:t>Так, в діяльності суб’єктів господарювання у 2020 році спостерігались такі ризики:</w:t>
      </w:r>
    </w:p>
    <w:p w:rsidR="008A6574" w:rsidRPr="008A6574" w:rsidRDefault="008A6574" w:rsidP="008A6574">
      <w:pPr>
        <w:pStyle w:val="af"/>
        <w:spacing w:before="0" w:beforeAutospacing="0" w:after="0" w:afterAutospacing="0" w:line="260" w:lineRule="exact"/>
        <w:ind w:firstLine="567"/>
        <w:jc w:val="both"/>
      </w:pPr>
      <w:r w:rsidRPr="008A6574">
        <w:t>- значне зменшення доходів (зростання збитків) внаслідок скорочення обсягів виробництва продукції (виконання робіт, послуг), зупинок діяльності підприємств через впроваджені обмеження в роботі, скорочення обсягів споживання продукції, втрати ринків збуту та падіння цін на вітчизняну продукцію;</w:t>
      </w:r>
    </w:p>
    <w:p w:rsidR="008A6574" w:rsidRPr="008A6574" w:rsidRDefault="008A6574" w:rsidP="008A6574">
      <w:pPr>
        <w:pStyle w:val="af"/>
        <w:spacing w:before="0" w:beforeAutospacing="0" w:after="0" w:afterAutospacing="0" w:line="260" w:lineRule="exact"/>
        <w:ind w:firstLine="567"/>
        <w:jc w:val="both"/>
      </w:pPr>
      <w:r w:rsidRPr="008A6574">
        <w:t>-</w:t>
      </w:r>
      <w:r w:rsidRPr="008A6574">
        <w:rPr>
          <w:lang w:val="en-US"/>
        </w:rPr>
        <w:t> </w:t>
      </w:r>
      <w:r w:rsidRPr="008A6574">
        <w:t>неможливість закупівлі витратних матеріалів імпортного виробництва через обмеження або відсутність імпорту;</w:t>
      </w:r>
    </w:p>
    <w:p w:rsidR="008A6574" w:rsidRPr="008A6574" w:rsidRDefault="008A6574" w:rsidP="008A6574">
      <w:pPr>
        <w:pStyle w:val="af"/>
        <w:spacing w:before="0" w:beforeAutospacing="0" w:after="0" w:afterAutospacing="0" w:line="260" w:lineRule="exact"/>
        <w:ind w:firstLine="567"/>
        <w:jc w:val="both"/>
      </w:pPr>
      <w:r w:rsidRPr="008A6574">
        <w:t>- дефіцит обігових коштів та погіршення ліквідності внаслідок несвоєчасності, не у повному обсязі або відсутності розрахунків за договорами, зростання заборгованості;</w:t>
      </w:r>
    </w:p>
    <w:p w:rsidR="008A6574" w:rsidRPr="008A6574" w:rsidRDefault="008A6574" w:rsidP="008A6574">
      <w:pPr>
        <w:pStyle w:val="af"/>
        <w:spacing w:before="0" w:beforeAutospacing="0" w:after="0" w:afterAutospacing="0" w:line="260" w:lineRule="exact"/>
        <w:ind w:firstLine="567"/>
        <w:jc w:val="both"/>
      </w:pPr>
      <w:r w:rsidRPr="008A6574">
        <w:t>- погіршення або неможливість розрахунків за кредитами, зростання ставок запозичень;</w:t>
      </w:r>
    </w:p>
    <w:p w:rsidR="008A6574" w:rsidRPr="008A6574" w:rsidRDefault="008A6574" w:rsidP="008A6574">
      <w:pPr>
        <w:pStyle w:val="af"/>
        <w:spacing w:before="0" w:beforeAutospacing="0" w:after="0" w:afterAutospacing="0" w:line="260" w:lineRule="exact"/>
        <w:ind w:firstLine="567"/>
        <w:jc w:val="both"/>
      </w:pPr>
      <w:r w:rsidRPr="008A6574">
        <w:t>- сповільнення реалізації інвестиційних проектів та відсутність можливості залучення нових інвестицій;</w:t>
      </w:r>
    </w:p>
    <w:p w:rsidR="008A6574" w:rsidRPr="008A6574" w:rsidRDefault="008A6574" w:rsidP="008A6574">
      <w:pPr>
        <w:pStyle w:val="af"/>
        <w:spacing w:before="0" w:beforeAutospacing="0" w:after="0" w:afterAutospacing="0" w:line="260" w:lineRule="exact"/>
        <w:ind w:firstLine="567"/>
        <w:jc w:val="both"/>
      </w:pPr>
      <w:r w:rsidRPr="008A6574">
        <w:t>- зниження рівня оплати та несвоєчасна виплата заробітної плати праці, зниження купівельної спроможності;</w:t>
      </w:r>
    </w:p>
    <w:p w:rsidR="008A6574" w:rsidRPr="008A6574" w:rsidRDefault="008A6574" w:rsidP="008A6574">
      <w:pPr>
        <w:pStyle w:val="af"/>
        <w:spacing w:before="0" w:beforeAutospacing="0" w:after="0" w:afterAutospacing="0" w:line="260" w:lineRule="exact"/>
        <w:ind w:firstLine="567"/>
        <w:jc w:val="both"/>
      </w:pPr>
      <w:r w:rsidRPr="008A6574">
        <w:t>- дефіцит кадрів основних професій внаслідок зростання захворюваності серед працівників.</w:t>
      </w:r>
    </w:p>
    <w:p w:rsidR="008A6574" w:rsidRPr="008A6574" w:rsidRDefault="008A6574" w:rsidP="008A6574">
      <w:pPr>
        <w:pStyle w:val="af"/>
        <w:spacing w:before="0" w:beforeAutospacing="0" w:after="0" w:afterAutospacing="0" w:line="260" w:lineRule="exact"/>
        <w:ind w:firstLine="567"/>
        <w:jc w:val="both"/>
      </w:pPr>
      <w:r w:rsidRPr="008A6574">
        <w:t>Обмеження та карантинні заходи безпеки, запроваджені у 2020 році у зв’язку з пандемією, призвели до значних втрат суб’єктів господарювання на ринку надання послуг з перевезення вантажів і пасажирів та послуг транспортної інфраструктури:</w:t>
      </w:r>
    </w:p>
    <w:p w:rsidR="008A6574" w:rsidRPr="008A6574" w:rsidRDefault="008A6574" w:rsidP="008A6574">
      <w:pPr>
        <w:pStyle w:val="af"/>
        <w:spacing w:before="0" w:beforeAutospacing="0" w:after="0" w:afterAutospacing="0" w:line="260" w:lineRule="exact"/>
        <w:ind w:firstLine="567"/>
        <w:jc w:val="both"/>
      </w:pPr>
      <w:r w:rsidRPr="008A6574">
        <w:t xml:space="preserve">- доходи АТ «Укрзалізниця» зменшились на 15,1 млрд грн, або на 16,7% порівняно із </w:t>
      </w:r>
      <w:r w:rsidRPr="008A6574">
        <w:br/>
        <w:t xml:space="preserve">2019 роком, отримано збитки у сумі 11,9 млрд грн проти 3,0 млрд грн чистого прибутку у </w:t>
      </w:r>
      <w:r w:rsidRPr="008A6574">
        <w:br/>
        <w:t>2019 році;</w:t>
      </w:r>
    </w:p>
    <w:p w:rsidR="008A6574" w:rsidRPr="008A6574" w:rsidRDefault="008A6574" w:rsidP="008A6574">
      <w:pPr>
        <w:pStyle w:val="af"/>
        <w:spacing w:before="0" w:beforeAutospacing="0" w:after="120" w:afterAutospacing="0" w:line="260" w:lineRule="exact"/>
        <w:ind w:firstLine="567"/>
        <w:jc w:val="both"/>
      </w:pPr>
      <w:r w:rsidRPr="008A6574">
        <w:t>- доходи ДП «Міжнародний аеропорт «Бориспіль</w:t>
      </w:r>
      <w:r w:rsidR="00643CCF">
        <w:t>»</w:t>
      </w:r>
      <w:r w:rsidRPr="008A6574">
        <w:t xml:space="preserve"> зменшились на 2,4 млрд грн, або на 53,7% порівняно із 2019 роком, отримано збитки у сумі 1,5 млрд грн проти 1,5 млрд грн чистого прибутку у 2019 році.</w:t>
      </w:r>
    </w:p>
    <w:p w:rsidR="0017703B" w:rsidRPr="00157011" w:rsidRDefault="0017703B" w:rsidP="00B56764">
      <w:pPr>
        <w:spacing w:after="0" w:line="240" w:lineRule="auto"/>
        <w:jc w:val="both"/>
        <w:rPr>
          <w:color w:val="000000" w:themeColor="text1"/>
          <w:lang w:eastAsia="ru-RU"/>
        </w:rPr>
      </w:pPr>
      <w:r>
        <w:rPr>
          <w:noProof/>
          <w:lang w:eastAsia="uk-UA"/>
        </w:rPr>
        <w:drawing>
          <wp:inline distT="0" distB="0" distL="0" distR="0" wp14:anchorId="43AC3681" wp14:editId="40B3D0D3">
            <wp:extent cx="6303645" cy="1953491"/>
            <wp:effectExtent l="0" t="0" r="1905" b="8890"/>
            <wp:docPr id="32" name="Діаграма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8A6574" w:rsidRPr="008A6574" w:rsidRDefault="008A6574" w:rsidP="008A6574">
      <w:pPr>
        <w:spacing w:after="120" w:line="240" w:lineRule="auto"/>
        <w:jc w:val="both"/>
        <w:rPr>
          <w:rFonts w:ascii="Times New Roman" w:hAnsi="Times New Roman" w:cs="Times New Roman"/>
          <w:i/>
          <w:sz w:val="24"/>
          <w:szCs w:val="24"/>
          <w:lang w:eastAsia="uk-UA"/>
        </w:rPr>
      </w:pPr>
      <w:r w:rsidRPr="008A6574">
        <w:rPr>
          <w:rFonts w:ascii="Times New Roman" w:hAnsi="Times New Roman" w:cs="Times New Roman"/>
          <w:i/>
          <w:sz w:val="24"/>
          <w:szCs w:val="24"/>
          <w:lang w:eastAsia="uk-UA"/>
        </w:rPr>
        <w:t>Джерело: Державна податкова служба України.</w:t>
      </w:r>
    </w:p>
    <w:p w:rsidR="008A6574" w:rsidRPr="008A6574" w:rsidRDefault="008A6574" w:rsidP="008A6574">
      <w:pPr>
        <w:pStyle w:val="af"/>
        <w:spacing w:before="0" w:beforeAutospacing="0" w:after="120" w:afterAutospacing="0" w:line="260" w:lineRule="exact"/>
        <w:ind w:firstLine="567"/>
        <w:jc w:val="both"/>
      </w:pPr>
      <w:r w:rsidRPr="008A6574">
        <w:t>За даними Державної податкової служби України, в умовах зниження загальної суми надходжень до державного бюджету податків, зборів та інших платежів (без урахування митних платежів) з 814,5 млрд грн у 2019 році до 570,8 млрд грн у 2020 році (на 243,7 млрд грн, або на 29,9%), суб’єктами господарювання державного сектору економіки сплачено до державного бюджету відповідних платежів у 2020 році в загальній сумі 137,9 млрд грн (або 24% загальної суми надходжень таких платежів до державного бюджету у 2020 році), що на 30,5 млрд грн, або 28,4% більше порівняно із 2019 роком.</w:t>
      </w:r>
    </w:p>
    <w:p w:rsidR="0017703B" w:rsidRDefault="0017703B" w:rsidP="0017703B">
      <w:pPr>
        <w:pStyle w:val="af"/>
        <w:spacing w:before="0" w:beforeAutospacing="0" w:after="0" w:afterAutospacing="0"/>
        <w:jc w:val="both"/>
      </w:pPr>
      <w:r>
        <w:rPr>
          <w:noProof/>
        </w:rPr>
        <w:drawing>
          <wp:inline distT="0" distB="0" distL="0" distR="0" wp14:anchorId="4D5EFFF3" wp14:editId="508DEA30">
            <wp:extent cx="6248400" cy="2687782"/>
            <wp:effectExtent l="0" t="0" r="0" b="0"/>
            <wp:docPr id="34" name="Діаграма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8A6574" w:rsidRPr="008A6574" w:rsidRDefault="008A6574" w:rsidP="008A6574">
      <w:pPr>
        <w:spacing w:after="120" w:line="240" w:lineRule="auto"/>
        <w:jc w:val="both"/>
        <w:rPr>
          <w:rFonts w:ascii="Times New Roman" w:hAnsi="Times New Roman" w:cs="Times New Roman"/>
          <w:i/>
          <w:sz w:val="24"/>
          <w:szCs w:val="24"/>
          <w:lang w:eastAsia="uk-UA"/>
        </w:rPr>
      </w:pPr>
      <w:r w:rsidRPr="008A6574">
        <w:rPr>
          <w:rFonts w:ascii="Times New Roman" w:hAnsi="Times New Roman" w:cs="Times New Roman"/>
          <w:i/>
          <w:sz w:val="24"/>
          <w:szCs w:val="24"/>
          <w:lang w:eastAsia="uk-UA"/>
        </w:rPr>
        <w:t>Джерело: Державна податкова служба України.</w:t>
      </w:r>
    </w:p>
    <w:p w:rsidR="008A6574" w:rsidRPr="008A6574" w:rsidRDefault="008A6574" w:rsidP="008A6574">
      <w:pPr>
        <w:pStyle w:val="af"/>
        <w:spacing w:before="0" w:beforeAutospacing="0" w:after="0" w:afterAutospacing="0"/>
        <w:ind w:firstLine="567"/>
        <w:jc w:val="both"/>
      </w:pPr>
      <w:r w:rsidRPr="008A6574">
        <w:t>Найбільшими платниками податків, зборів та інших платежів до державного бюджету у 2020 році, зокрема, були: НАК «Нафтогаз України», АТ «Укрнафта», АТ «Укргазвидобування», ДП НАЕК «Енергоатом» та АТ «Укрзалізниця».</w:t>
      </w:r>
    </w:p>
    <w:p w:rsidR="008A6574" w:rsidRPr="008A6574" w:rsidRDefault="008A6574" w:rsidP="008A6574">
      <w:pPr>
        <w:spacing w:after="0" w:line="240" w:lineRule="auto"/>
        <w:ind w:firstLine="567"/>
        <w:jc w:val="both"/>
        <w:rPr>
          <w:rFonts w:ascii="Times New Roman" w:hAnsi="Times New Roman" w:cs="Times New Roman"/>
          <w:sz w:val="24"/>
          <w:szCs w:val="24"/>
          <w:lang w:eastAsia="uk-UA"/>
        </w:rPr>
      </w:pPr>
      <w:r w:rsidRPr="008A6574">
        <w:rPr>
          <w:rFonts w:ascii="Times New Roman" w:hAnsi="Times New Roman" w:cs="Times New Roman"/>
          <w:sz w:val="24"/>
          <w:szCs w:val="24"/>
          <w:lang w:eastAsia="uk-UA"/>
        </w:rPr>
        <w:t>Отже, можливе погіршення фінансового стану зазначених підприємств, зокрема, внаслідок матеріалізація ризиків у їх діяльності, а також викликів світового масштабу (впливом ефекту від поширення хвороби COVID-19) може призвести до значного зменшення сплати відповідних платежів до бюджетів.</w:t>
      </w:r>
    </w:p>
    <w:p w:rsidR="008A6574" w:rsidRPr="008A6574" w:rsidRDefault="008A6574" w:rsidP="008A6574">
      <w:pPr>
        <w:pStyle w:val="af"/>
        <w:spacing w:before="0" w:beforeAutospacing="0" w:after="0" w:afterAutospacing="0"/>
        <w:ind w:firstLine="567"/>
        <w:jc w:val="both"/>
      </w:pPr>
      <w:r w:rsidRPr="008A6574">
        <w:t>Міністерство фінансів України відповідно до Методики оцінювання фіскальних ризиків, пов’язаних з діяльністю суб’єктів господарювання державного сектору економіки, затвердженої постановою Кабінету Міністрів України від 11.01.2017 № 7, визначає перелік суб’єктів господарювання, з якими можуть бути пов’язані найбільші фіскальні ризики (далі – Перелік), до якого у 2021 році включено 28 суб’єктів господарювання (див. додаток 1), та здійснює моніторинг їх діяльності.</w:t>
      </w:r>
    </w:p>
    <w:p w:rsidR="008A6574" w:rsidRPr="008A6574" w:rsidRDefault="008A6574" w:rsidP="008A6574">
      <w:pPr>
        <w:pStyle w:val="af"/>
        <w:spacing w:before="0" w:beforeAutospacing="0" w:after="0" w:afterAutospacing="0"/>
        <w:ind w:firstLine="567"/>
        <w:jc w:val="both"/>
      </w:pPr>
      <w:r w:rsidRPr="008A6574">
        <w:t>До Переліку включені суб’єкти господарювання, що мають значні обсяги активів, запозичення під державні гарантії, зобов’язання за кредитами в іноземній валюті, є великими платниками податків.</w:t>
      </w:r>
    </w:p>
    <w:p w:rsidR="008A6574" w:rsidRPr="008A6574" w:rsidRDefault="008A6574" w:rsidP="008A6574">
      <w:pPr>
        <w:pStyle w:val="af"/>
        <w:spacing w:before="0" w:beforeAutospacing="0" w:after="0" w:afterAutospacing="0"/>
        <w:ind w:firstLine="567"/>
        <w:jc w:val="both"/>
      </w:pPr>
      <w:r w:rsidRPr="008A6574">
        <w:t>Одним із чинників, який негативно впливає на якість оцінки фіскальних ризиків та визначення їх можливого впливу на показники державного бюджету у відповідному періоді є відсутність затверджених в установленому порядку фінансових планів суб’єктів господарювання.</w:t>
      </w:r>
    </w:p>
    <w:p w:rsidR="008A6574" w:rsidRPr="008A6574" w:rsidRDefault="008A6574" w:rsidP="008A6574">
      <w:pPr>
        <w:pStyle w:val="af"/>
        <w:spacing w:before="0" w:beforeAutospacing="0" w:after="0" w:afterAutospacing="0"/>
        <w:ind w:firstLine="567"/>
        <w:jc w:val="both"/>
      </w:pPr>
      <w:r w:rsidRPr="008A6574">
        <w:t>Так, відповідно до Господарського кодексу України суб’єкти управління об’єктами державної власності та Кабінет Міністрів України до 1 вересня (крім підприємств електроенергетики, фінансові плани яких підлягають затвердженню до 31 грудня) мають затверджувати фінансові плани підприємств на наступний плановий рік.</w:t>
      </w:r>
    </w:p>
    <w:p w:rsidR="008A6574" w:rsidRPr="008A6574" w:rsidRDefault="008A6574" w:rsidP="008A6574">
      <w:pPr>
        <w:pStyle w:val="af"/>
        <w:spacing w:before="0" w:beforeAutospacing="0" w:after="0" w:afterAutospacing="0"/>
        <w:ind w:firstLine="567"/>
        <w:jc w:val="both"/>
        <w:rPr>
          <w:lang w:val="ru-RU"/>
        </w:rPr>
      </w:pPr>
      <w:r w:rsidRPr="008A6574">
        <w:t>Разом з тим із 35 фінансових планів суб’єктів господарювання на 2022 рік, які відповідно до законодавства мають затверджуватись Кабінетом Міністрів України, станом на 01.09.2021 не затверджено жодного.</w:t>
      </w:r>
    </w:p>
    <w:p w:rsidR="008A6574" w:rsidRPr="008A6574" w:rsidRDefault="008A6574" w:rsidP="008A6574">
      <w:pPr>
        <w:pStyle w:val="af"/>
        <w:spacing w:before="0" w:beforeAutospacing="0" w:after="0" w:afterAutospacing="0"/>
        <w:ind w:firstLine="567"/>
        <w:jc w:val="both"/>
      </w:pPr>
      <w:r w:rsidRPr="008A6574">
        <w:t>Основними фіскальними ризиками, пов’язаними з діяльністю суб’єктів господарювання державного сектору економіки, що можуть негативно впливати на показники державного бюджету у 2022 році, можуть бути:</w:t>
      </w:r>
    </w:p>
    <w:p w:rsidR="0017703B" w:rsidRDefault="0017703B" w:rsidP="00EC6710">
      <w:pPr>
        <w:pStyle w:val="af"/>
        <w:spacing w:before="120" w:beforeAutospacing="0" w:after="120" w:afterAutospacing="0"/>
        <w:ind w:firstLine="567"/>
        <w:jc w:val="both"/>
        <w:rPr>
          <w:b/>
          <w:i/>
        </w:rPr>
      </w:pPr>
      <w:r w:rsidRPr="000E076A">
        <w:rPr>
          <w:b/>
          <w:i/>
        </w:rPr>
        <w:t>1) зменшення відрахувань податкових та неподаткових платежів, у тому числі частини чистого прибутку, дивідендів на державну частку (пор</w:t>
      </w:r>
      <w:r>
        <w:rPr>
          <w:b/>
          <w:i/>
        </w:rPr>
        <w:t>івняно із запланованим обсягом)</w:t>
      </w:r>
    </w:p>
    <w:p w:rsidR="002B1F69" w:rsidRPr="00195A2A" w:rsidRDefault="002B1F69" w:rsidP="0017703B">
      <w:pPr>
        <w:pStyle w:val="af"/>
        <w:spacing w:before="120" w:beforeAutospacing="0" w:after="0" w:afterAutospacing="0"/>
        <w:jc w:val="both"/>
        <w:rPr>
          <w:b/>
        </w:rPr>
      </w:pPr>
      <w:r>
        <w:rPr>
          <w:noProof/>
        </w:rPr>
        <w:drawing>
          <wp:inline distT="0" distB="0" distL="0" distR="0" wp14:anchorId="53141EAA" wp14:editId="234D0679">
            <wp:extent cx="6177280" cy="1838325"/>
            <wp:effectExtent l="0" t="0" r="13970" b="9525"/>
            <wp:docPr id="26" name="Діаграма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8E7494" w:rsidRPr="008E7494" w:rsidRDefault="008E7494" w:rsidP="008E7494">
      <w:pPr>
        <w:pStyle w:val="af"/>
        <w:spacing w:before="0" w:beforeAutospacing="0" w:after="0" w:afterAutospacing="0"/>
        <w:jc w:val="both"/>
        <w:rPr>
          <w:i/>
          <w:sz w:val="22"/>
        </w:rPr>
      </w:pPr>
      <w:r w:rsidRPr="008E7494">
        <w:rPr>
          <w:i/>
          <w:sz w:val="22"/>
        </w:rPr>
        <w:t>Джерело: дані Міністерства фінансів України.</w:t>
      </w:r>
    </w:p>
    <w:p w:rsidR="008E7494" w:rsidRPr="008E7494" w:rsidRDefault="008E7494" w:rsidP="008E7494">
      <w:pPr>
        <w:pStyle w:val="af"/>
        <w:spacing w:before="0" w:beforeAutospacing="0" w:after="120" w:afterAutospacing="0"/>
        <w:jc w:val="both"/>
        <w:rPr>
          <w:i/>
          <w:sz w:val="22"/>
        </w:rPr>
      </w:pPr>
      <w:r w:rsidRPr="008E7494">
        <w:rPr>
          <w:i/>
          <w:sz w:val="22"/>
        </w:rPr>
        <w:t xml:space="preserve">*фактичні надходження станом на </w:t>
      </w:r>
      <w:r w:rsidRPr="008E7494">
        <w:rPr>
          <w:i/>
          <w:sz w:val="22"/>
          <w:lang w:val="ru-RU"/>
        </w:rPr>
        <w:t>3</w:t>
      </w:r>
      <w:r w:rsidRPr="008E7494">
        <w:rPr>
          <w:i/>
          <w:sz w:val="22"/>
        </w:rPr>
        <w:t>1.0</w:t>
      </w:r>
      <w:r w:rsidRPr="008E7494">
        <w:rPr>
          <w:i/>
          <w:sz w:val="22"/>
          <w:lang w:val="ru-RU"/>
        </w:rPr>
        <w:t>8</w:t>
      </w:r>
      <w:r w:rsidRPr="008E7494">
        <w:rPr>
          <w:i/>
          <w:sz w:val="22"/>
        </w:rPr>
        <w:t>.2021.</w:t>
      </w:r>
    </w:p>
    <w:p w:rsidR="008E7494" w:rsidRPr="008E7494" w:rsidRDefault="008E7494" w:rsidP="008E7494">
      <w:pPr>
        <w:pStyle w:val="af"/>
        <w:spacing w:before="0" w:beforeAutospacing="0" w:after="0" w:afterAutospacing="0"/>
        <w:ind w:firstLine="567"/>
        <w:jc w:val="both"/>
      </w:pPr>
      <w:r w:rsidRPr="008E7494">
        <w:t>До державного бюджету у 2020 році надходження частини чистого прибутку (доходу) державних унітарних підприємств та їх об’єднань, що вилучається до бюджету, та дивідендів (доходу), нарахованих на акції (частки) господарських товариств, у статутних капіталах яких є державна власність, становили 66,9 млрд грн, або 1,6% ВВП. Річний план зі сплати вказаних платежів до державного бюджету виконано на 98%.</w:t>
      </w:r>
    </w:p>
    <w:p w:rsidR="008E7494" w:rsidRPr="008E7494" w:rsidRDefault="008E7494" w:rsidP="008E7494">
      <w:pPr>
        <w:pStyle w:val="af"/>
        <w:spacing w:before="0" w:beforeAutospacing="0" w:after="0" w:afterAutospacing="0"/>
        <w:ind w:firstLine="567"/>
        <w:jc w:val="both"/>
      </w:pPr>
      <w:r w:rsidRPr="008E7494">
        <w:t>Законом України «Про Державний бюджет України на 2021 рік» (із змінами) надходження частини чистого прибутку та дивідендів заплановано у сумі 28,8 млрд гривень.</w:t>
      </w:r>
    </w:p>
    <w:p w:rsidR="008E7494" w:rsidRPr="008E7494" w:rsidRDefault="008E7494" w:rsidP="008E7494">
      <w:pPr>
        <w:pStyle w:val="af"/>
        <w:spacing w:before="0" w:beforeAutospacing="0" w:after="0" w:afterAutospacing="0"/>
        <w:ind w:firstLine="567"/>
        <w:jc w:val="both"/>
      </w:pPr>
      <w:r w:rsidRPr="008E7494">
        <w:t>Станом на 3</w:t>
      </w:r>
      <w:r w:rsidRPr="008E7494">
        <w:rPr>
          <w:lang w:val="ru-RU"/>
        </w:rPr>
        <w:t>1</w:t>
      </w:r>
      <w:r w:rsidRPr="008E7494">
        <w:t>.08.2021 надійшло 25,8 млрд грн частини чистого прибутку та дивідендів, що становить 89,6% планового показника на рік.</w:t>
      </w:r>
    </w:p>
    <w:p w:rsidR="008E7494" w:rsidRPr="008E7494" w:rsidRDefault="008E7494" w:rsidP="008E7494">
      <w:pPr>
        <w:pStyle w:val="af"/>
        <w:spacing w:before="0" w:beforeAutospacing="0" w:after="0" w:afterAutospacing="0"/>
        <w:ind w:firstLine="567"/>
        <w:jc w:val="both"/>
      </w:pPr>
      <w:r w:rsidRPr="008E7494">
        <w:t>Основним платником частини чистого прибутку та дивідендів до державного бюджету у 2021 році було АТ КБ «Приватбанк» – 19,4 млрд грн або 67,5% запланованого на 2021 рік показника.</w:t>
      </w:r>
    </w:p>
    <w:p w:rsidR="008E7494" w:rsidRPr="00AB1552" w:rsidRDefault="008E7494" w:rsidP="008E7494">
      <w:pPr>
        <w:pStyle w:val="af"/>
        <w:spacing w:before="0" w:beforeAutospacing="0" w:after="0" w:afterAutospacing="0"/>
        <w:ind w:firstLine="567"/>
        <w:jc w:val="both"/>
      </w:pPr>
      <w:r w:rsidRPr="00AB1552">
        <w:t>Протягом 2019 – 2020 років основним платником дивідендів до державного бюджету було НАК «Нафтогаз України (у 2019 році – 20,7 млрд грн, або 44,8% загальної суми надходжень частини чистого прибутку та дивідендів; у 2020 році – 35,8 млрд грн, або 55,4% загальної суми надходжень таких платежів до державного бюджету).</w:t>
      </w:r>
    </w:p>
    <w:p w:rsidR="008E7494" w:rsidRPr="005265F4" w:rsidRDefault="008E7494" w:rsidP="008E7494">
      <w:pPr>
        <w:pStyle w:val="af"/>
        <w:spacing w:before="0" w:beforeAutospacing="0" w:after="0" w:afterAutospacing="0"/>
        <w:ind w:firstLine="567"/>
        <w:jc w:val="both"/>
      </w:pPr>
      <w:r w:rsidRPr="005265F4">
        <w:t xml:space="preserve">У 2022 році плануються надходження </w:t>
      </w:r>
      <w:r w:rsidR="00FF4EF9">
        <w:t xml:space="preserve">до загального фонду державного бюджету </w:t>
      </w:r>
      <w:r w:rsidRPr="005265F4">
        <w:t>частини чистого прибутку та дивідендів у сумі 4</w:t>
      </w:r>
      <w:r w:rsidR="00CA7ED8" w:rsidRPr="005265F4">
        <w:t>8</w:t>
      </w:r>
      <w:r w:rsidRPr="005265F4">
        <w:t xml:space="preserve">,6 млрд грн, що на </w:t>
      </w:r>
      <w:r w:rsidR="005545C6" w:rsidRPr="005265F4">
        <w:t>68,8</w:t>
      </w:r>
      <w:r w:rsidRPr="005265F4">
        <w:t>% або на 1</w:t>
      </w:r>
      <w:r w:rsidR="005545C6" w:rsidRPr="005265F4">
        <w:t>9</w:t>
      </w:r>
      <w:r w:rsidRPr="005265F4">
        <w:t>,8 млрд грн більше від прогнозних даних 2021 року.</w:t>
      </w:r>
    </w:p>
    <w:p w:rsidR="007A45C3" w:rsidRDefault="00095302" w:rsidP="00095302">
      <w:pPr>
        <w:pStyle w:val="af"/>
        <w:spacing w:before="0" w:beforeAutospacing="0" w:after="0" w:afterAutospacing="0"/>
        <w:ind w:firstLine="567"/>
        <w:jc w:val="both"/>
        <w:rPr>
          <w:color w:val="000000" w:themeColor="text1"/>
        </w:rPr>
      </w:pPr>
      <w:r w:rsidRPr="005265F4">
        <w:rPr>
          <w:color w:val="000000" w:themeColor="text1"/>
        </w:rPr>
        <w:t>При цьому,</w:t>
      </w:r>
      <w:r w:rsidR="00F00BA7">
        <w:rPr>
          <w:color w:val="000000" w:themeColor="text1"/>
        </w:rPr>
        <w:t xml:space="preserve"> у 2022 році </w:t>
      </w:r>
      <w:r w:rsidR="00F00BA7" w:rsidRPr="005265F4">
        <w:rPr>
          <w:color w:val="000000" w:themeColor="text1"/>
        </w:rPr>
        <w:t>існують ризики невиконання зазначеного плану</w:t>
      </w:r>
      <w:r w:rsidRPr="005265F4">
        <w:rPr>
          <w:color w:val="000000" w:themeColor="text1"/>
        </w:rPr>
        <w:t xml:space="preserve"> </w:t>
      </w:r>
      <w:r w:rsidR="00F00BA7" w:rsidRPr="005265F4">
        <w:rPr>
          <w:color w:val="000000" w:themeColor="text1"/>
        </w:rPr>
        <w:t xml:space="preserve">в сумі </w:t>
      </w:r>
      <w:r w:rsidR="007A45C3">
        <w:rPr>
          <w:color w:val="000000" w:themeColor="text1"/>
        </w:rPr>
        <w:br/>
      </w:r>
      <w:r w:rsidR="00F00BA7" w:rsidRPr="005265F4">
        <w:rPr>
          <w:color w:val="000000" w:themeColor="text1"/>
        </w:rPr>
        <w:t xml:space="preserve">15,0 млрд грн </w:t>
      </w:r>
      <w:r w:rsidRPr="005265F4">
        <w:rPr>
          <w:color w:val="000000" w:themeColor="text1"/>
        </w:rPr>
        <w:t xml:space="preserve">за рахунок можливого зменшення сплати відповідних платежів, зокрема </w:t>
      </w:r>
      <w:r w:rsidR="007A45C3">
        <w:rPr>
          <w:color w:val="000000" w:themeColor="text1"/>
        </w:rPr>
        <w:t>такими суб</w:t>
      </w:r>
      <w:r w:rsidR="007A45C3" w:rsidRPr="007A45C3">
        <w:rPr>
          <w:color w:val="000000" w:themeColor="text1"/>
        </w:rPr>
        <w:t>’</w:t>
      </w:r>
      <w:r w:rsidR="007A45C3">
        <w:rPr>
          <w:color w:val="000000" w:themeColor="text1"/>
        </w:rPr>
        <w:t>єктами господарювання:</w:t>
      </w:r>
    </w:p>
    <w:p w:rsidR="007A45C3" w:rsidRPr="007A45C3" w:rsidRDefault="00FF4EF9" w:rsidP="007A45C3">
      <w:pPr>
        <w:pStyle w:val="af"/>
        <w:numPr>
          <w:ilvl w:val="0"/>
          <w:numId w:val="44"/>
        </w:numPr>
        <w:spacing w:before="0" w:beforeAutospacing="0" w:after="0" w:afterAutospacing="0"/>
        <w:ind w:left="0" w:firstLine="567"/>
        <w:jc w:val="both"/>
        <w:rPr>
          <w:color w:val="000000" w:themeColor="text1"/>
        </w:rPr>
      </w:pPr>
      <w:r>
        <w:rPr>
          <w:color w:val="000000" w:themeColor="text1"/>
        </w:rPr>
        <w:t>НАК «Нафтогаз України» у сумі 10,7 млрд грн</w:t>
      </w:r>
      <w:r w:rsidR="007A45C3">
        <w:rPr>
          <w:color w:val="000000" w:themeColor="text1"/>
        </w:rPr>
        <w:t xml:space="preserve">, що </w:t>
      </w:r>
      <w:r w:rsidR="00F00BA7" w:rsidRPr="00FF4EF9">
        <w:rPr>
          <w:color w:val="000000" w:themeColor="text1"/>
        </w:rPr>
        <w:t>пов</w:t>
      </w:r>
      <w:r w:rsidR="00A61CBB" w:rsidRPr="00FF4EF9">
        <w:rPr>
          <w:rFonts w:ascii="Calibri" w:hAnsi="Calibri" w:cs="Calibri"/>
          <w:color w:val="000000" w:themeColor="text1"/>
        </w:rPr>
        <w:t>’</w:t>
      </w:r>
      <w:r w:rsidR="00F00BA7" w:rsidRPr="00FF4EF9">
        <w:rPr>
          <w:color w:val="000000" w:themeColor="text1"/>
        </w:rPr>
        <w:t>язано</w:t>
      </w:r>
      <w:r w:rsidR="007A45C3">
        <w:rPr>
          <w:color w:val="000000" w:themeColor="text1"/>
        </w:rPr>
        <w:t>, зокрема</w:t>
      </w:r>
      <w:r w:rsidR="00F00BA7" w:rsidRPr="00FF4EF9">
        <w:rPr>
          <w:color w:val="000000" w:themeColor="text1"/>
        </w:rPr>
        <w:t xml:space="preserve"> із</w:t>
      </w:r>
      <w:r w:rsidR="00F00BA7">
        <w:rPr>
          <w:color w:val="000000" w:themeColor="text1"/>
        </w:rPr>
        <w:t xml:space="preserve"> </w:t>
      </w:r>
      <w:r>
        <w:rPr>
          <w:color w:val="000000" w:themeColor="text1"/>
        </w:rPr>
        <w:t>імплементацією</w:t>
      </w:r>
      <w:r w:rsidR="00F00BA7">
        <w:rPr>
          <w:color w:val="000000" w:themeColor="text1"/>
        </w:rPr>
        <w:t xml:space="preserve"> Закону України </w:t>
      </w:r>
      <w:r w:rsidR="00F00BA7" w:rsidRPr="009A61B1">
        <w:rPr>
          <w:lang w:eastAsia="ru-RU"/>
        </w:rPr>
        <w:t>«Про заходи, спрямовані на подолання кризових явищ та забезпечення фінансової стабільності на ринку природного газу»</w:t>
      </w:r>
      <w:r>
        <w:t xml:space="preserve"> </w:t>
      </w:r>
      <w:r w:rsidR="007A45C3">
        <w:t>(</w:t>
      </w:r>
      <w:r w:rsidR="00F00BA7" w:rsidRPr="009A61B1">
        <w:t>від 14.07.2021 № 1639-IX</w:t>
      </w:r>
      <w:r w:rsidR="007A45C3">
        <w:t xml:space="preserve">). </w:t>
      </w:r>
      <w:r w:rsidR="00B108CF">
        <w:br/>
      </w:r>
      <w:r w:rsidR="007A45C3">
        <w:t xml:space="preserve">Так, </w:t>
      </w:r>
      <w:r w:rsidR="00B108CF">
        <w:t>визначення</w:t>
      </w:r>
      <w:r w:rsidR="007A45C3">
        <w:t xml:space="preserve"> дивідендів</w:t>
      </w:r>
      <w:r w:rsidR="00AE6860">
        <w:t xml:space="preserve">, які має сплатити </w:t>
      </w:r>
      <w:r w:rsidR="00AE6860">
        <w:rPr>
          <w:color w:val="000000" w:themeColor="text1"/>
        </w:rPr>
        <w:t>НАК «Нафтогаз України»,</w:t>
      </w:r>
      <w:r w:rsidR="007A45C3">
        <w:t xml:space="preserve"> джерело</w:t>
      </w:r>
      <w:r w:rsidR="00B108CF">
        <w:t>м</w:t>
      </w:r>
      <w:r w:rsidR="007A45C3">
        <w:t xml:space="preserve"> погашення заборгованості </w:t>
      </w:r>
      <w:proofErr w:type="spellStart"/>
      <w:r w:rsidR="007A45C3">
        <w:t>суб</w:t>
      </w:r>
      <w:proofErr w:type="spellEnd"/>
      <w:r w:rsidR="007A45C3" w:rsidRPr="007A45C3">
        <w:rPr>
          <w:lang w:val="ru-RU"/>
        </w:rPr>
        <w:t>’</w:t>
      </w:r>
      <w:proofErr w:type="spellStart"/>
      <w:r w:rsidR="007A45C3">
        <w:t>єктів</w:t>
      </w:r>
      <w:proofErr w:type="spellEnd"/>
      <w:r w:rsidR="007A45C3">
        <w:t xml:space="preserve"> ринку природного газу призведе до зменшення </w:t>
      </w:r>
      <w:r w:rsidR="00AE6860">
        <w:t xml:space="preserve">відповідних надходжень </w:t>
      </w:r>
      <w:r w:rsidR="007A45C3">
        <w:t>до загального фонду державного бюджету;</w:t>
      </w:r>
    </w:p>
    <w:p w:rsidR="00095302" w:rsidRDefault="00FF4EF9" w:rsidP="007A45C3">
      <w:pPr>
        <w:pStyle w:val="af"/>
        <w:numPr>
          <w:ilvl w:val="0"/>
          <w:numId w:val="44"/>
        </w:numPr>
        <w:spacing w:before="0" w:beforeAutospacing="0" w:after="0" w:afterAutospacing="0"/>
        <w:ind w:left="0" w:firstLine="567"/>
        <w:jc w:val="both"/>
        <w:rPr>
          <w:color w:val="000000" w:themeColor="text1"/>
        </w:rPr>
      </w:pPr>
      <w:r>
        <w:t xml:space="preserve">АТ «Укрнафта» у сумі </w:t>
      </w:r>
      <w:r w:rsidR="00095302" w:rsidRPr="005265F4">
        <w:t>2,9</w:t>
      </w:r>
      <w:r w:rsidR="00095302" w:rsidRPr="005265F4">
        <w:rPr>
          <w:color w:val="000000" w:themeColor="text1"/>
        </w:rPr>
        <w:t xml:space="preserve"> млрд грн</w:t>
      </w:r>
      <w:r>
        <w:rPr>
          <w:color w:val="000000" w:themeColor="text1"/>
        </w:rPr>
        <w:t xml:space="preserve"> у зв’язку із оскарженням заборгованості по сплаті дивідендів в судах</w:t>
      </w:r>
      <w:r w:rsidR="00095302" w:rsidRPr="005265F4">
        <w:rPr>
          <w:color w:val="000000" w:themeColor="text1"/>
        </w:rPr>
        <w:t>.</w:t>
      </w:r>
    </w:p>
    <w:p w:rsidR="008E7494" w:rsidRPr="008E7494" w:rsidRDefault="00134BA5" w:rsidP="008E7494">
      <w:pPr>
        <w:pStyle w:val="ad"/>
        <w:spacing w:before="0"/>
        <w:jc w:val="both"/>
        <w:rPr>
          <w:rFonts w:ascii="Times New Roman" w:hAnsi="Times New Roman"/>
          <w:sz w:val="24"/>
          <w:szCs w:val="24"/>
          <w:lang w:eastAsia="uk-UA"/>
        </w:rPr>
      </w:pPr>
      <w:r>
        <w:rPr>
          <w:rFonts w:ascii="Times New Roman" w:hAnsi="Times New Roman"/>
          <w:sz w:val="24"/>
          <w:szCs w:val="24"/>
          <w:lang w:eastAsia="uk-UA"/>
        </w:rPr>
        <w:t>Крім того</w:t>
      </w:r>
      <w:r w:rsidR="008E7494" w:rsidRPr="008E7494">
        <w:rPr>
          <w:rFonts w:ascii="Times New Roman" w:hAnsi="Times New Roman"/>
          <w:sz w:val="24"/>
          <w:szCs w:val="24"/>
          <w:lang w:eastAsia="uk-UA"/>
        </w:rPr>
        <w:t xml:space="preserve">, у Верховній Раді України зареєстровано проект Закону України «Про внесення змін до деяких законодавчих актів України щодо вдосконалення корпоративного управління юридичних осіб, акціонером (засновником, учасником) яких є держава» (реєстр. № 5593-д </w:t>
      </w:r>
      <w:r w:rsidR="008E7494" w:rsidRPr="008E7494">
        <w:rPr>
          <w:rFonts w:ascii="Times New Roman" w:hAnsi="Times New Roman"/>
          <w:sz w:val="24"/>
          <w:szCs w:val="24"/>
          <w:lang w:eastAsia="uk-UA"/>
        </w:rPr>
        <w:br/>
        <w:t>від 06.07.2021), який 15.07.2021 прийнято у першому читанні.</w:t>
      </w:r>
    </w:p>
    <w:p w:rsidR="008E7494" w:rsidRPr="008E7494" w:rsidRDefault="008E7494" w:rsidP="008E7494">
      <w:pPr>
        <w:spacing w:after="0" w:line="240" w:lineRule="auto"/>
        <w:ind w:firstLine="567"/>
        <w:jc w:val="both"/>
        <w:rPr>
          <w:rFonts w:ascii="Times New Roman" w:hAnsi="Times New Roman" w:cs="Times New Roman"/>
          <w:sz w:val="24"/>
          <w:szCs w:val="24"/>
          <w:lang w:eastAsia="uk-UA"/>
        </w:rPr>
      </w:pPr>
      <w:r w:rsidRPr="008E7494">
        <w:rPr>
          <w:rFonts w:ascii="Times New Roman" w:hAnsi="Times New Roman" w:cs="Times New Roman"/>
          <w:sz w:val="24"/>
          <w:szCs w:val="24"/>
          <w:lang w:eastAsia="uk-UA"/>
        </w:rPr>
        <w:t>Цим законопроектом передбачаються суттєві зміни корпоративного управління державними компаніями, зокрема розширення повноважень наглядових рад у частині затвердження стратегічних та інвестиційних планів, річних фінансових планів, затвердження розміру дивідендів суб’єктом управління, скасування положення щодо встановлення Урядом базового нормативу відрахування частки прибутку, що спрямовується на виплату дивідендів.</w:t>
      </w:r>
    </w:p>
    <w:p w:rsidR="008E7494" w:rsidRPr="008E7494" w:rsidRDefault="008E7494" w:rsidP="008E7494">
      <w:pPr>
        <w:spacing w:after="0" w:line="240" w:lineRule="auto"/>
        <w:ind w:firstLine="567"/>
        <w:jc w:val="both"/>
        <w:rPr>
          <w:rFonts w:ascii="Times New Roman" w:hAnsi="Times New Roman" w:cs="Times New Roman"/>
          <w:sz w:val="24"/>
          <w:szCs w:val="24"/>
          <w:lang w:eastAsia="uk-UA"/>
        </w:rPr>
      </w:pPr>
      <w:r w:rsidRPr="008E7494">
        <w:rPr>
          <w:rFonts w:ascii="Times New Roman" w:hAnsi="Times New Roman" w:cs="Times New Roman"/>
          <w:sz w:val="24"/>
          <w:szCs w:val="24"/>
          <w:lang w:eastAsia="uk-UA"/>
        </w:rPr>
        <w:t>Прийняття вказаного законопроекту у редакції, яку прийнято у першому читанні, містить ризики суттєвого негативного впливу на обсяги надходжень до державного бюджету дивідендів на державну частку, які становили у 2019 році – 35,9 млрд грн (або 4,1% доходів загального фонду), у 2020 році – 61,3 млрд грн (або 7,0% доходів загального фонду), у І півріччі 2021 року – 22,9 млрд грн (або 4,5% доходів загального фонду за відповідний період).</w:t>
      </w:r>
    </w:p>
    <w:p w:rsidR="008E7494" w:rsidRPr="008E7494" w:rsidRDefault="008E7494" w:rsidP="008E7494">
      <w:pPr>
        <w:pStyle w:val="af"/>
        <w:spacing w:before="0" w:beforeAutospacing="0" w:after="120" w:afterAutospacing="0"/>
        <w:ind w:firstLine="567"/>
        <w:jc w:val="both"/>
      </w:pPr>
      <w:r w:rsidRPr="008E7494">
        <w:t xml:space="preserve">Таким чином, у разі прийняття цього законопроекту існують суттєві фіскальні ризики втрати надходжень до державного бюджету дивідендів у 2022 – 2024 роках, а саме у 2022 році – </w:t>
      </w:r>
      <w:r w:rsidR="00095302">
        <w:t>41</w:t>
      </w:r>
      <w:r w:rsidRPr="008E7494">
        <w:t>,4 млрд грн, у 2023 – 38,3 млрд грн, у 2024 – 32,0 млрд грн, при цьому джерел компенсації таких втрат бюджету законопроектом не визначено.</w:t>
      </w:r>
    </w:p>
    <w:p w:rsidR="0017703B" w:rsidRPr="00C510EB" w:rsidRDefault="0017703B" w:rsidP="0017703B">
      <w:pPr>
        <w:pStyle w:val="af"/>
        <w:spacing w:before="0" w:beforeAutospacing="0" w:after="0" w:afterAutospacing="0"/>
        <w:jc w:val="both"/>
        <w:rPr>
          <w:color w:val="000000" w:themeColor="text1"/>
        </w:rPr>
      </w:pPr>
      <w:r>
        <w:rPr>
          <w:noProof/>
        </w:rPr>
        <w:drawing>
          <wp:inline distT="0" distB="0" distL="0" distR="0" wp14:anchorId="327507A7" wp14:editId="4EB34E0F">
            <wp:extent cx="6233795" cy="1743075"/>
            <wp:effectExtent l="0" t="0" r="14605" b="9525"/>
            <wp:docPr id="5" name="Діагра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1D15DE" w:rsidRPr="001D15DE" w:rsidRDefault="001D15DE" w:rsidP="001D15DE">
      <w:pPr>
        <w:pStyle w:val="af"/>
        <w:spacing w:before="0" w:beforeAutospacing="0" w:after="0" w:afterAutospacing="0"/>
        <w:jc w:val="both"/>
      </w:pPr>
      <w:r w:rsidRPr="001D15DE">
        <w:rPr>
          <w:i/>
        </w:rPr>
        <w:t>Джерело: Державна податкова служба України.</w:t>
      </w:r>
    </w:p>
    <w:p w:rsidR="00F82D46" w:rsidRDefault="00F82D46" w:rsidP="001D15DE">
      <w:pPr>
        <w:pStyle w:val="af"/>
        <w:spacing w:before="120" w:beforeAutospacing="0" w:after="0" w:afterAutospacing="0"/>
        <w:ind w:firstLine="567"/>
        <w:jc w:val="both"/>
      </w:pPr>
    </w:p>
    <w:p w:rsidR="001D15DE" w:rsidRPr="001D15DE" w:rsidRDefault="001D15DE" w:rsidP="001D15DE">
      <w:pPr>
        <w:pStyle w:val="af"/>
        <w:spacing w:before="120" w:beforeAutospacing="0" w:after="0" w:afterAutospacing="0"/>
        <w:ind w:firstLine="567"/>
        <w:jc w:val="both"/>
      </w:pPr>
      <w:r w:rsidRPr="001D15DE">
        <w:t xml:space="preserve">Податковий борг </w:t>
      </w:r>
      <w:r w:rsidRPr="001D15DE">
        <w:rPr>
          <w:lang w:eastAsia="ru-RU"/>
        </w:rPr>
        <w:t>суб’єктів господарювання</w:t>
      </w:r>
      <w:r w:rsidRPr="001D15DE">
        <w:t xml:space="preserve"> протягом 2020 року зріс на 1,1 млрд грн та станом на 01.01.2021 становив 15,6 млрд гривень.</w:t>
      </w:r>
    </w:p>
    <w:p w:rsidR="001D15DE" w:rsidRPr="001D15DE" w:rsidRDefault="001D15DE" w:rsidP="001D15DE">
      <w:pPr>
        <w:pStyle w:val="af"/>
        <w:spacing w:before="0" w:beforeAutospacing="0" w:after="0" w:afterAutospacing="0"/>
        <w:ind w:firstLine="567"/>
        <w:jc w:val="both"/>
      </w:pPr>
      <w:r w:rsidRPr="001D15DE">
        <w:t xml:space="preserve">При цьому протягом 2020 року також спостерігається зростання переплат податків, зборів та інших платежів, сума яких збільшилася на 2,2 млрд грн та має тенденцію до зростання й </w:t>
      </w:r>
      <w:r w:rsidRPr="001D15DE">
        <w:br/>
        <w:t>у 2021 році (станом на 01.04.2021 становила 9,5 млрд гривень).</w:t>
      </w:r>
    </w:p>
    <w:p w:rsidR="001D15DE" w:rsidRPr="001D15DE" w:rsidRDefault="001D15DE" w:rsidP="001D15DE">
      <w:pPr>
        <w:pStyle w:val="af"/>
        <w:spacing w:before="0" w:beforeAutospacing="0" w:after="0" w:afterAutospacing="0"/>
        <w:ind w:firstLine="567"/>
        <w:jc w:val="both"/>
      </w:pPr>
      <w:r w:rsidRPr="001D15DE">
        <w:t xml:space="preserve">Значні суми податкового боргу із року в рік становлять борги вуглевидобувних підприємств та підприємств ринку електроенергії, найбільшу суму переплат до державного бюджету </w:t>
      </w:r>
      <w:r w:rsidRPr="001D15DE">
        <w:br/>
        <w:t>у 2021 році податків, зборів та інших платежів має НАК «Нафтогаз України» – 6,1 млрд гривень;</w:t>
      </w:r>
    </w:p>
    <w:p w:rsidR="0017703B" w:rsidRPr="00EC6710" w:rsidRDefault="003B098D" w:rsidP="00EC6710">
      <w:pPr>
        <w:spacing w:before="120" w:after="120" w:line="240" w:lineRule="auto"/>
        <w:ind w:firstLine="567"/>
        <w:jc w:val="both"/>
        <w:rPr>
          <w:rFonts w:ascii="Times New Roman" w:hAnsi="Times New Roman" w:cs="Times New Roman"/>
          <w:b/>
          <w:i/>
          <w:color w:val="000000" w:themeColor="text1"/>
          <w:sz w:val="24"/>
          <w:szCs w:val="24"/>
          <w:lang w:eastAsia="ru-RU"/>
        </w:rPr>
      </w:pPr>
      <w:r>
        <w:rPr>
          <w:rFonts w:ascii="Times New Roman" w:hAnsi="Times New Roman" w:cs="Times New Roman"/>
          <w:b/>
          <w:i/>
          <w:color w:val="000000" w:themeColor="text1"/>
          <w:sz w:val="24"/>
          <w:szCs w:val="24"/>
          <w:lang w:eastAsia="ru-RU"/>
        </w:rPr>
        <w:t>2</w:t>
      </w:r>
      <w:r w:rsidR="0017703B" w:rsidRPr="00EC6710">
        <w:rPr>
          <w:rFonts w:ascii="Times New Roman" w:hAnsi="Times New Roman" w:cs="Times New Roman"/>
          <w:b/>
          <w:i/>
          <w:color w:val="000000" w:themeColor="text1"/>
          <w:sz w:val="24"/>
          <w:szCs w:val="24"/>
          <w:lang w:eastAsia="ru-RU"/>
        </w:rPr>
        <w:t xml:space="preserve">) </w:t>
      </w:r>
      <w:proofErr w:type="spellStart"/>
      <w:r w:rsidR="0017703B" w:rsidRPr="00EC6710">
        <w:rPr>
          <w:rFonts w:ascii="Times New Roman" w:hAnsi="Times New Roman" w:cs="Times New Roman"/>
          <w:b/>
          <w:i/>
          <w:color w:val="000000" w:themeColor="text1"/>
          <w:sz w:val="24"/>
          <w:szCs w:val="24"/>
          <w:lang w:eastAsia="ru-RU"/>
        </w:rPr>
        <w:t>квазіфіскальна</w:t>
      </w:r>
      <w:proofErr w:type="spellEnd"/>
      <w:r w:rsidR="0017703B" w:rsidRPr="00EC6710">
        <w:rPr>
          <w:rFonts w:ascii="Times New Roman" w:hAnsi="Times New Roman" w:cs="Times New Roman"/>
          <w:b/>
          <w:i/>
          <w:color w:val="000000" w:themeColor="text1"/>
          <w:sz w:val="24"/>
          <w:szCs w:val="24"/>
          <w:lang w:eastAsia="ru-RU"/>
        </w:rPr>
        <w:t xml:space="preserve"> діяльність суб’єктів господарювання</w:t>
      </w:r>
    </w:p>
    <w:p w:rsidR="00192E76" w:rsidRPr="00192E76" w:rsidRDefault="00192E76" w:rsidP="00192E76">
      <w:pPr>
        <w:spacing w:after="0" w:line="240" w:lineRule="auto"/>
        <w:ind w:firstLine="567"/>
        <w:jc w:val="both"/>
        <w:rPr>
          <w:rFonts w:ascii="Times New Roman" w:hAnsi="Times New Roman" w:cs="Times New Roman"/>
          <w:sz w:val="24"/>
          <w:szCs w:val="24"/>
          <w:lang w:eastAsia="uk-UA"/>
        </w:rPr>
      </w:pPr>
      <w:r w:rsidRPr="00192E76">
        <w:rPr>
          <w:rFonts w:ascii="Times New Roman" w:hAnsi="Times New Roman" w:cs="Times New Roman"/>
          <w:sz w:val="24"/>
          <w:szCs w:val="24"/>
          <w:lang w:eastAsia="uk-UA"/>
        </w:rPr>
        <w:t>Відповідно до Закону України «Про ринок електроенергії» за рішенням Уряду виконання спеціальних обов’язків покладено на виробників електричної енергії ДП «НАЕК «Енергоатом» та ПрАТ «</w:t>
      </w:r>
      <w:proofErr w:type="spellStart"/>
      <w:r w:rsidRPr="00192E76">
        <w:rPr>
          <w:rFonts w:ascii="Times New Roman" w:hAnsi="Times New Roman" w:cs="Times New Roman"/>
          <w:sz w:val="24"/>
          <w:szCs w:val="24"/>
          <w:lang w:eastAsia="uk-UA"/>
        </w:rPr>
        <w:t>Укргідроенерго</w:t>
      </w:r>
      <w:proofErr w:type="spellEnd"/>
      <w:r w:rsidRPr="00192E76">
        <w:rPr>
          <w:rFonts w:ascii="Times New Roman" w:hAnsi="Times New Roman" w:cs="Times New Roman"/>
          <w:sz w:val="24"/>
          <w:szCs w:val="24"/>
          <w:lang w:eastAsia="uk-UA"/>
        </w:rPr>
        <w:t>» (шляхом продажу електроенергії гарантованому покупцю у визначених обсягах та за фіксованою ціною) та на оператора системи передачі електричної енергії – НЕК «Укренерго». При цьому право на отримання компенсації економічно обґрунтованих витрат, здійснених такими суб’єктами господарювання, законом не передбачено.</w:t>
      </w:r>
    </w:p>
    <w:p w:rsidR="00192E76" w:rsidRPr="00192E76" w:rsidRDefault="00192E76" w:rsidP="00192E76">
      <w:pPr>
        <w:spacing w:after="0" w:line="240" w:lineRule="auto"/>
        <w:ind w:firstLine="567"/>
        <w:jc w:val="both"/>
        <w:rPr>
          <w:rFonts w:ascii="Times New Roman" w:hAnsi="Times New Roman" w:cs="Times New Roman"/>
          <w:sz w:val="24"/>
          <w:szCs w:val="24"/>
          <w:lang w:eastAsia="uk-UA"/>
        </w:rPr>
      </w:pPr>
      <w:r w:rsidRPr="00192E76">
        <w:rPr>
          <w:rFonts w:ascii="Times New Roman" w:hAnsi="Times New Roman" w:cs="Times New Roman"/>
          <w:sz w:val="24"/>
          <w:szCs w:val="24"/>
          <w:lang w:eastAsia="uk-UA"/>
        </w:rPr>
        <w:t>Як наслідок, протягом 2020 – 2021 років спостерігається значна заборгованість та дефіцит обігових коштів суб’єктів господарювання – учасників ринку електричної енергії.</w:t>
      </w:r>
    </w:p>
    <w:p w:rsidR="00192E76" w:rsidRPr="00192E76" w:rsidRDefault="00192E76" w:rsidP="00192E76">
      <w:pPr>
        <w:spacing w:after="0" w:line="240" w:lineRule="auto"/>
        <w:ind w:firstLine="567"/>
        <w:jc w:val="both"/>
        <w:rPr>
          <w:rFonts w:ascii="Times New Roman" w:hAnsi="Times New Roman" w:cs="Times New Roman"/>
          <w:sz w:val="24"/>
          <w:szCs w:val="24"/>
          <w:lang w:eastAsia="uk-UA"/>
        </w:rPr>
      </w:pPr>
      <w:r w:rsidRPr="00192E76">
        <w:rPr>
          <w:rFonts w:ascii="Times New Roman" w:hAnsi="Times New Roman" w:cs="Times New Roman"/>
          <w:sz w:val="24"/>
          <w:szCs w:val="24"/>
          <w:lang w:eastAsia="uk-UA"/>
        </w:rPr>
        <w:t>Так, станом на 28.08.2021 заборгованість ДП «Гарантований покупець» перед виробниками електроенергії для забезпечення потреб населення становила 7,1 млрд грн, перед виробниками електроенергії за «зеленим» тарифом – 22,7 млрд грн, в свою чергу НЕК «Укренерго» заборгував ДП «Гарантований покупець» 29,8 млрд гривень.</w:t>
      </w:r>
    </w:p>
    <w:p w:rsidR="00192E76" w:rsidRPr="00192E76" w:rsidRDefault="00192E76" w:rsidP="00192E76">
      <w:pPr>
        <w:spacing w:after="0" w:line="240" w:lineRule="auto"/>
        <w:ind w:firstLine="567"/>
        <w:jc w:val="both"/>
        <w:rPr>
          <w:rFonts w:ascii="Times New Roman" w:hAnsi="Times New Roman" w:cs="Times New Roman"/>
          <w:sz w:val="24"/>
          <w:szCs w:val="24"/>
          <w:lang w:eastAsia="uk-UA"/>
        </w:rPr>
      </w:pPr>
      <w:r w:rsidRPr="00192E76">
        <w:rPr>
          <w:rFonts w:ascii="Times New Roman" w:hAnsi="Times New Roman" w:cs="Times New Roman"/>
          <w:sz w:val="24"/>
          <w:szCs w:val="24"/>
          <w:lang w:eastAsia="uk-UA"/>
        </w:rPr>
        <w:t>Подальша невизначеність щодо формування цін та тарифів, покладення спеціальних обов’язків, а також можливе падіння попиту та рівня споживання через карантинні обмеження внаслідок пандемії, зниження платоспроможності споживачів, зростання рівня безробіття тощо матимуть негативний вплив на діяльність суб’єктів господарювання паливно-енергетичного комплексу.</w:t>
      </w:r>
    </w:p>
    <w:p w:rsidR="00192E76" w:rsidRPr="00192E76" w:rsidRDefault="00192E76" w:rsidP="00192E76">
      <w:pPr>
        <w:spacing w:after="0" w:line="240" w:lineRule="auto"/>
        <w:ind w:firstLine="567"/>
        <w:jc w:val="both"/>
        <w:rPr>
          <w:rFonts w:ascii="Times New Roman" w:hAnsi="Times New Roman" w:cs="Times New Roman"/>
          <w:sz w:val="24"/>
          <w:szCs w:val="24"/>
          <w:lang w:eastAsia="ru-RU"/>
        </w:rPr>
      </w:pPr>
      <w:r w:rsidRPr="00192E76">
        <w:rPr>
          <w:rFonts w:ascii="Times New Roman" w:hAnsi="Times New Roman" w:cs="Times New Roman"/>
          <w:sz w:val="24"/>
          <w:szCs w:val="24"/>
          <w:lang w:eastAsia="ru-RU"/>
        </w:rPr>
        <w:t xml:space="preserve">Урегулювання вказаних питань може потребувати додаткових витрат з державного бюджету, а їх не вирішення може призвести до поглиблення кризи </w:t>
      </w:r>
      <w:proofErr w:type="spellStart"/>
      <w:r w:rsidRPr="00192E76">
        <w:rPr>
          <w:rFonts w:ascii="Times New Roman" w:hAnsi="Times New Roman" w:cs="Times New Roman"/>
          <w:sz w:val="24"/>
          <w:szCs w:val="24"/>
          <w:lang w:eastAsia="ru-RU"/>
        </w:rPr>
        <w:t>неплатежів</w:t>
      </w:r>
      <w:proofErr w:type="spellEnd"/>
      <w:r w:rsidRPr="00192E76">
        <w:rPr>
          <w:rFonts w:ascii="Times New Roman" w:hAnsi="Times New Roman" w:cs="Times New Roman"/>
          <w:sz w:val="24"/>
          <w:szCs w:val="24"/>
          <w:lang w:eastAsia="ru-RU"/>
        </w:rPr>
        <w:t xml:space="preserve"> та погіршення фінансового стану суб’єктів господарювання-учасників ринків електричної енергії та газу, що у подальшому відобразиться на зменшенні надходжень державного бюджету.</w:t>
      </w:r>
    </w:p>
    <w:p w:rsidR="00192E76" w:rsidRPr="009A61B1" w:rsidRDefault="00192E76" w:rsidP="00192E76">
      <w:pPr>
        <w:spacing w:after="0" w:line="240" w:lineRule="auto"/>
        <w:ind w:firstLine="567"/>
        <w:jc w:val="both"/>
        <w:rPr>
          <w:rFonts w:ascii="Times New Roman" w:hAnsi="Times New Roman" w:cs="Times New Roman"/>
          <w:sz w:val="24"/>
          <w:szCs w:val="24"/>
          <w:lang w:eastAsia="ru-RU"/>
        </w:rPr>
      </w:pPr>
      <w:r w:rsidRPr="00192E76">
        <w:rPr>
          <w:rFonts w:ascii="Times New Roman" w:hAnsi="Times New Roman" w:cs="Times New Roman"/>
          <w:sz w:val="24"/>
          <w:szCs w:val="24"/>
          <w:lang w:eastAsia="ru-RU"/>
        </w:rPr>
        <w:t xml:space="preserve">Так, Верховною Радою України у 2020 році прийнято закони України «Про заходи, спрямовані на погашення заборгованості, що утворилася на оптовому ринку електричної енергії» (від 17.06.2020 № 719-IX) щодо погашення заборгованості, що утворилася на ринку електроенергії станом на 01.07.2019 за рахунок державного бюджету та «Про альтернативні </w:t>
      </w:r>
      <w:r w:rsidRPr="009A61B1">
        <w:rPr>
          <w:rFonts w:ascii="Times New Roman" w:hAnsi="Times New Roman" w:cs="Times New Roman"/>
          <w:sz w:val="24"/>
          <w:szCs w:val="24"/>
          <w:lang w:eastAsia="ru-RU"/>
        </w:rPr>
        <w:t>джерела енергії» (від 21.07.2020 № 810-ІХ) щодо фінансової підтримки ДП «Гарантований покупець» з Державного бюджету України у розмірі не менше 20% прогнозної виробітки електричної енергії з альтернативних джерел. На реалізацію зазначених законів у 2021 році необхідні кошти у сумі 39,5 млрд грн, які Державним бюджетом України на 2021 рік не передбачено.</w:t>
      </w:r>
    </w:p>
    <w:p w:rsidR="00192E76" w:rsidRPr="009A61B1" w:rsidRDefault="00192E76" w:rsidP="00192E76">
      <w:pPr>
        <w:spacing w:after="0" w:line="240" w:lineRule="auto"/>
        <w:ind w:firstLine="567"/>
        <w:jc w:val="both"/>
        <w:rPr>
          <w:rFonts w:ascii="Times New Roman" w:hAnsi="Times New Roman" w:cs="Times New Roman"/>
          <w:sz w:val="24"/>
          <w:szCs w:val="24"/>
          <w:lang w:eastAsia="ru-RU"/>
        </w:rPr>
      </w:pPr>
      <w:r w:rsidRPr="009A61B1">
        <w:rPr>
          <w:rFonts w:ascii="Times New Roman" w:hAnsi="Times New Roman" w:cs="Times New Roman"/>
          <w:sz w:val="24"/>
          <w:szCs w:val="24"/>
          <w:lang w:eastAsia="ru-RU"/>
        </w:rPr>
        <w:t>Крім того, Верх</w:t>
      </w:r>
      <w:r w:rsidR="00FE1030" w:rsidRPr="009A61B1">
        <w:rPr>
          <w:rFonts w:ascii="Times New Roman" w:hAnsi="Times New Roman" w:cs="Times New Roman"/>
          <w:sz w:val="24"/>
          <w:szCs w:val="24"/>
          <w:lang w:eastAsia="ru-RU"/>
        </w:rPr>
        <w:t>овною Радою України прийнятий</w:t>
      </w:r>
      <w:r w:rsidRPr="009A61B1">
        <w:rPr>
          <w:rFonts w:ascii="Times New Roman" w:hAnsi="Times New Roman" w:cs="Times New Roman"/>
          <w:sz w:val="24"/>
          <w:szCs w:val="24"/>
          <w:lang w:eastAsia="ru-RU"/>
        </w:rPr>
        <w:t xml:space="preserve"> Закон України «Про заходи, спрямовані на подолання кризових явищ та забезпечення фінансової стабільності на ринку природного газу»</w:t>
      </w:r>
      <w:r w:rsidR="00FE1030" w:rsidRPr="009A61B1">
        <w:rPr>
          <w:rFonts w:ascii="Times New Roman" w:hAnsi="Times New Roman" w:cs="Times New Roman"/>
          <w:sz w:val="24"/>
          <w:szCs w:val="24"/>
        </w:rPr>
        <w:t xml:space="preserve"> від 14.07.2021 № 1639-IX</w:t>
      </w:r>
      <w:r w:rsidR="00C00881" w:rsidRPr="00C00881">
        <w:rPr>
          <w:rFonts w:ascii="Times New Roman" w:hAnsi="Times New Roman" w:cs="Times New Roman"/>
          <w:sz w:val="24"/>
          <w:szCs w:val="24"/>
        </w:rPr>
        <w:t xml:space="preserve"> (далі –</w:t>
      </w:r>
      <w:r w:rsidR="00C00881" w:rsidRPr="00C00881">
        <w:rPr>
          <w:rFonts w:ascii="Times New Roman" w:hAnsi="Times New Roman" w:cs="Times New Roman"/>
          <w:sz w:val="24"/>
          <w:szCs w:val="24"/>
          <w:lang w:eastAsia="ru-RU"/>
        </w:rPr>
        <w:t xml:space="preserve"> </w:t>
      </w:r>
      <w:r w:rsidR="00C00881">
        <w:rPr>
          <w:rFonts w:ascii="Times New Roman" w:hAnsi="Times New Roman" w:cs="Times New Roman"/>
          <w:sz w:val="24"/>
          <w:szCs w:val="24"/>
          <w:lang w:eastAsia="ru-RU"/>
        </w:rPr>
        <w:t>Закон</w:t>
      </w:r>
      <w:r w:rsidR="00C00881" w:rsidRPr="009A61B1">
        <w:rPr>
          <w:rFonts w:ascii="Times New Roman" w:hAnsi="Times New Roman" w:cs="Times New Roman"/>
          <w:sz w:val="24"/>
          <w:szCs w:val="24"/>
          <w:lang w:eastAsia="ru-RU"/>
        </w:rPr>
        <w:t xml:space="preserve"> № 1639-ІХ</w:t>
      </w:r>
      <w:r w:rsidR="00C00881">
        <w:rPr>
          <w:rFonts w:ascii="Times New Roman" w:hAnsi="Times New Roman" w:cs="Times New Roman"/>
          <w:sz w:val="24"/>
          <w:szCs w:val="24"/>
          <w:lang w:eastAsia="ru-RU"/>
        </w:rPr>
        <w:t>)</w:t>
      </w:r>
      <w:r w:rsidRPr="009A61B1">
        <w:rPr>
          <w:rFonts w:ascii="Times New Roman" w:hAnsi="Times New Roman" w:cs="Times New Roman"/>
          <w:sz w:val="24"/>
          <w:szCs w:val="24"/>
          <w:lang w:eastAsia="ru-RU"/>
        </w:rPr>
        <w:t>, що передбачає врегулювання за рахунок</w:t>
      </w:r>
      <w:r w:rsidR="00C00881">
        <w:rPr>
          <w:rFonts w:ascii="Times New Roman" w:hAnsi="Times New Roman" w:cs="Times New Roman"/>
          <w:sz w:val="24"/>
          <w:szCs w:val="24"/>
          <w:lang w:eastAsia="ru-RU"/>
        </w:rPr>
        <w:t xml:space="preserve"> коштів</w:t>
      </w:r>
      <w:r w:rsidRPr="009A61B1">
        <w:rPr>
          <w:rFonts w:ascii="Times New Roman" w:hAnsi="Times New Roman" w:cs="Times New Roman"/>
          <w:sz w:val="24"/>
          <w:szCs w:val="24"/>
          <w:lang w:eastAsia="ru-RU"/>
        </w:rPr>
        <w:t xml:space="preserve"> державного бюджету боргів теплопостачальних підприємств та інших учасників ринку природного газу за природний газ. Реалізація цього Закону потребуватиме </w:t>
      </w:r>
      <w:r w:rsidR="00C00881">
        <w:rPr>
          <w:rFonts w:ascii="Times New Roman" w:hAnsi="Times New Roman" w:cs="Times New Roman"/>
          <w:sz w:val="24"/>
          <w:szCs w:val="24"/>
          <w:lang w:eastAsia="ru-RU"/>
        </w:rPr>
        <w:t xml:space="preserve">додаткових </w:t>
      </w:r>
      <w:r w:rsidRPr="009A61B1">
        <w:rPr>
          <w:rFonts w:ascii="Times New Roman" w:hAnsi="Times New Roman" w:cs="Times New Roman"/>
          <w:sz w:val="24"/>
          <w:szCs w:val="24"/>
          <w:lang w:eastAsia="ru-RU"/>
        </w:rPr>
        <w:t>ви</w:t>
      </w:r>
      <w:r w:rsidR="00C00881">
        <w:rPr>
          <w:rFonts w:ascii="Times New Roman" w:hAnsi="Times New Roman" w:cs="Times New Roman"/>
          <w:sz w:val="24"/>
          <w:szCs w:val="24"/>
          <w:lang w:eastAsia="ru-RU"/>
        </w:rPr>
        <w:t>трат</w:t>
      </w:r>
      <w:r w:rsidRPr="009A61B1">
        <w:rPr>
          <w:rFonts w:ascii="Times New Roman" w:hAnsi="Times New Roman" w:cs="Times New Roman"/>
          <w:sz w:val="24"/>
          <w:szCs w:val="24"/>
          <w:lang w:eastAsia="ru-RU"/>
        </w:rPr>
        <w:t xml:space="preserve"> державного бюджету </w:t>
      </w:r>
      <w:r w:rsidR="00FE1030" w:rsidRPr="009A61B1">
        <w:rPr>
          <w:rFonts w:ascii="Times New Roman" w:hAnsi="Times New Roman" w:cs="Times New Roman"/>
          <w:sz w:val="24"/>
          <w:szCs w:val="24"/>
          <w:lang w:eastAsia="ru-RU"/>
        </w:rPr>
        <w:t>та внесення відповідних змін до Закону</w:t>
      </w:r>
      <w:r w:rsidRPr="009A61B1">
        <w:rPr>
          <w:rFonts w:ascii="Times New Roman" w:hAnsi="Times New Roman" w:cs="Times New Roman"/>
          <w:sz w:val="24"/>
          <w:szCs w:val="24"/>
          <w:lang w:eastAsia="ru-RU"/>
        </w:rPr>
        <w:t xml:space="preserve"> України «Про Державний </w:t>
      </w:r>
      <w:r w:rsidR="00FE1030" w:rsidRPr="009A61B1">
        <w:rPr>
          <w:rFonts w:ascii="Times New Roman" w:hAnsi="Times New Roman" w:cs="Times New Roman"/>
          <w:sz w:val="24"/>
          <w:szCs w:val="24"/>
          <w:lang w:eastAsia="ru-RU"/>
        </w:rPr>
        <w:t>бюджет України на 2021 рік»</w:t>
      </w:r>
      <w:r w:rsidRPr="009A61B1">
        <w:rPr>
          <w:rFonts w:ascii="Times New Roman" w:hAnsi="Times New Roman" w:cs="Times New Roman"/>
          <w:sz w:val="24"/>
          <w:szCs w:val="24"/>
          <w:lang w:eastAsia="ru-RU"/>
        </w:rPr>
        <w:t>.</w:t>
      </w:r>
    </w:p>
    <w:p w:rsidR="0024113F" w:rsidRPr="009A61B1" w:rsidRDefault="00FE1030" w:rsidP="00192E76">
      <w:pPr>
        <w:spacing w:after="0" w:line="240" w:lineRule="auto"/>
        <w:ind w:firstLine="567"/>
        <w:jc w:val="both"/>
        <w:rPr>
          <w:rFonts w:ascii="Times New Roman" w:hAnsi="Times New Roman" w:cs="Times New Roman"/>
          <w:sz w:val="24"/>
          <w:szCs w:val="24"/>
          <w:lang w:eastAsia="ru-RU"/>
        </w:rPr>
      </w:pPr>
      <w:r w:rsidRPr="009A61B1">
        <w:rPr>
          <w:rFonts w:ascii="Times New Roman" w:hAnsi="Times New Roman" w:cs="Times New Roman"/>
          <w:sz w:val="24"/>
          <w:szCs w:val="24"/>
          <w:lang w:eastAsia="ru-RU"/>
        </w:rPr>
        <w:t xml:space="preserve">Разом з тим, </w:t>
      </w:r>
      <w:r w:rsidR="0024113F" w:rsidRPr="009A61B1">
        <w:rPr>
          <w:rFonts w:ascii="Times New Roman" w:hAnsi="Times New Roman" w:cs="Times New Roman"/>
          <w:sz w:val="24"/>
          <w:szCs w:val="24"/>
          <w:lang w:eastAsia="ru-RU"/>
        </w:rPr>
        <w:t xml:space="preserve">реалізація </w:t>
      </w:r>
      <w:r w:rsidR="00C00881">
        <w:rPr>
          <w:rFonts w:ascii="Times New Roman" w:hAnsi="Times New Roman" w:cs="Times New Roman"/>
          <w:sz w:val="24"/>
          <w:szCs w:val="24"/>
          <w:lang w:eastAsia="ru-RU"/>
        </w:rPr>
        <w:t>Закону</w:t>
      </w:r>
      <w:r w:rsidR="00C00881" w:rsidRPr="009A61B1">
        <w:rPr>
          <w:rFonts w:ascii="Times New Roman" w:hAnsi="Times New Roman" w:cs="Times New Roman"/>
          <w:sz w:val="24"/>
          <w:szCs w:val="24"/>
          <w:lang w:eastAsia="ru-RU"/>
        </w:rPr>
        <w:t xml:space="preserve"> № 1639-ІХ </w:t>
      </w:r>
      <w:r w:rsidR="0024113F" w:rsidRPr="009A61B1">
        <w:rPr>
          <w:rFonts w:ascii="Times New Roman" w:hAnsi="Times New Roman" w:cs="Times New Roman"/>
          <w:sz w:val="24"/>
          <w:szCs w:val="24"/>
          <w:lang w:eastAsia="ru-RU"/>
        </w:rPr>
        <w:t>не передбачає рішучих кроків щодо усунення основних причин не</w:t>
      </w:r>
      <w:r w:rsidR="008C6179" w:rsidRPr="009A61B1">
        <w:rPr>
          <w:rFonts w:ascii="Times New Roman" w:hAnsi="Times New Roman" w:cs="Times New Roman"/>
          <w:sz w:val="24"/>
          <w:szCs w:val="24"/>
          <w:lang w:eastAsia="ru-RU"/>
        </w:rPr>
        <w:t xml:space="preserve">сплати </w:t>
      </w:r>
      <w:r w:rsidR="0024113F" w:rsidRPr="009A61B1">
        <w:rPr>
          <w:rFonts w:ascii="Times New Roman" w:hAnsi="Times New Roman" w:cs="Times New Roman"/>
          <w:sz w:val="24"/>
          <w:szCs w:val="24"/>
          <w:lang w:eastAsia="ru-RU"/>
        </w:rPr>
        <w:t xml:space="preserve">платежів, </w:t>
      </w:r>
      <w:r w:rsidR="00F00BA7">
        <w:rPr>
          <w:rFonts w:ascii="Times New Roman" w:hAnsi="Times New Roman" w:cs="Times New Roman"/>
          <w:sz w:val="24"/>
          <w:szCs w:val="24"/>
          <w:lang w:eastAsia="ru-RU"/>
        </w:rPr>
        <w:t>може погіршити</w:t>
      </w:r>
      <w:r w:rsidR="0024113F" w:rsidRPr="009A61B1">
        <w:rPr>
          <w:rFonts w:ascii="Times New Roman" w:hAnsi="Times New Roman" w:cs="Times New Roman"/>
          <w:sz w:val="24"/>
          <w:szCs w:val="24"/>
          <w:lang w:eastAsia="ru-RU"/>
        </w:rPr>
        <w:t xml:space="preserve"> платіжну д</w:t>
      </w:r>
      <w:r w:rsidR="00F00BA7">
        <w:rPr>
          <w:rFonts w:ascii="Times New Roman" w:hAnsi="Times New Roman" w:cs="Times New Roman"/>
          <w:sz w:val="24"/>
          <w:szCs w:val="24"/>
          <w:lang w:eastAsia="ru-RU"/>
        </w:rPr>
        <w:t xml:space="preserve">исципліну в майбутньому та </w:t>
      </w:r>
      <w:r w:rsidR="0024113F" w:rsidRPr="009A61B1">
        <w:rPr>
          <w:rFonts w:ascii="Times New Roman" w:hAnsi="Times New Roman" w:cs="Times New Roman"/>
          <w:sz w:val="24"/>
          <w:szCs w:val="24"/>
          <w:lang w:eastAsia="ru-RU"/>
        </w:rPr>
        <w:t>призвести до подальших втрат у газовому секторі, навіть у наступному опалювальному періоді.</w:t>
      </w:r>
    </w:p>
    <w:p w:rsidR="0024113F" w:rsidRPr="009A61B1" w:rsidRDefault="00A61CBB" w:rsidP="00192E76">
      <w:pPr>
        <w:spacing w:after="0" w:line="240" w:lineRule="auto"/>
        <w:ind w:firstLine="567"/>
        <w:jc w:val="both"/>
        <w:rPr>
          <w:rFonts w:ascii="Times New Roman" w:hAnsi="Times New Roman" w:cs="Times New Roman"/>
          <w:sz w:val="24"/>
          <w:szCs w:val="24"/>
          <w:lang w:eastAsia="ru-RU"/>
        </w:rPr>
      </w:pPr>
      <w:r>
        <w:rPr>
          <w:rFonts w:ascii="Times New Roman" w:hAnsi="Times New Roman" w:cs="Times New Roman"/>
          <w:sz w:val="24"/>
          <w:szCs w:val="24"/>
          <w:lang w:eastAsia="ru-RU"/>
        </w:rPr>
        <w:t xml:space="preserve">Компенсація </w:t>
      </w:r>
      <w:r w:rsidRPr="009A61B1">
        <w:rPr>
          <w:rFonts w:ascii="Times New Roman" w:hAnsi="Times New Roman" w:cs="Times New Roman"/>
          <w:sz w:val="24"/>
          <w:szCs w:val="24"/>
          <w:lang w:eastAsia="ru-RU"/>
        </w:rPr>
        <w:t>боргів</w:t>
      </w:r>
      <w:r w:rsidR="0024113F" w:rsidRPr="009A61B1">
        <w:rPr>
          <w:rFonts w:ascii="Times New Roman" w:hAnsi="Times New Roman" w:cs="Times New Roman"/>
          <w:sz w:val="24"/>
          <w:szCs w:val="24"/>
          <w:lang w:eastAsia="ru-RU"/>
        </w:rPr>
        <w:t>, які передбачено врегулювати Законом № 1639-ІХ</w:t>
      </w:r>
      <w:r w:rsidRPr="00A61CBB">
        <w:rPr>
          <w:rFonts w:ascii="Times New Roman" w:hAnsi="Times New Roman" w:cs="Times New Roman"/>
          <w:sz w:val="24"/>
          <w:szCs w:val="24"/>
          <w:lang w:eastAsia="ru-RU"/>
        </w:rPr>
        <w:t xml:space="preserve"> </w:t>
      </w:r>
      <w:r w:rsidRPr="009A61B1">
        <w:rPr>
          <w:rFonts w:ascii="Times New Roman" w:hAnsi="Times New Roman" w:cs="Times New Roman"/>
          <w:sz w:val="24"/>
          <w:szCs w:val="24"/>
          <w:lang w:eastAsia="ru-RU"/>
        </w:rPr>
        <w:t>за рахунок бюджету</w:t>
      </w:r>
      <w:r>
        <w:rPr>
          <w:rFonts w:ascii="Times New Roman" w:hAnsi="Times New Roman" w:cs="Times New Roman"/>
          <w:sz w:val="24"/>
          <w:szCs w:val="24"/>
          <w:lang w:eastAsia="ru-RU"/>
        </w:rPr>
        <w:t>,</w:t>
      </w:r>
      <w:r w:rsidR="007E5B3B" w:rsidRPr="009A61B1">
        <w:rPr>
          <w:rFonts w:ascii="Times New Roman" w:hAnsi="Times New Roman" w:cs="Times New Roman"/>
          <w:sz w:val="24"/>
          <w:szCs w:val="24"/>
          <w:lang w:eastAsia="ru-RU"/>
        </w:rPr>
        <w:t xml:space="preserve"> створює умови для інших вимог щодо компенсацій зараз чи в майбутньому з несприятливим фіскальним впливом.</w:t>
      </w:r>
    </w:p>
    <w:p w:rsidR="007E5B3B" w:rsidRPr="009A61B1" w:rsidRDefault="007E5B3B" w:rsidP="002469EA">
      <w:pPr>
        <w:spacing w:after="0" w:line="288" w:lineRule="auto"/>
        <w:ind w:firstLine="567"/>
        <w:jc w:val="both"/>
        <w:rPr>
          <w:rFonts w:ascii="Times New Roman" w:hAnsi="Times New Roman" w:cs="Times New Roman"/>
          <w:sz w:val="24"/>
          <w:szCs w:val="24"/>
          <w:lang w:eastAsia="ru-RU"/>
        </w:rPr>
      </w:pPr>
      <w:r w:rsidRPr="009A61B1">
        <w:rPr>
          <w:rFonts w:ascii="Times New Roman" w:hAnsi="Times New Roman" w:cs="Times New Roman"/>
          <w:sz w:val="24"/>
          <w:szCs w:val="24"/>
          <w:lang w:eastAsia="ru-RU"/>
        </w:rPr>
        <w:t>Проблемні питання енергетичного сектору та сфери житлово-кому</w:t>
      </w:r>
      <w:r w:rsidR="008C6179" w:rsidRPr="009A61B1">
        <w:rPr>
          <w:rFonts w:ascii="Times New Roman" w:hAnsi="Times New Roman" w:cs="Times New Roman"/>
          <w:sz w:val="24"/>
          <w:szCs w:val="24"/>
          <w:lang w:eastAsia="ru-RU"/>
        </w:rPr>
        <w:t xml:space="preserve">нальних послуг повинні вирішуватися шляхом ринкового ціноутворення на природний газ, приведення НКРЕКП тарифів на розподіл природного газу до повного відшкодування витрат, встановлення тарифів </w:t>
      </w:r>
      <w:r w:rsidR="00111AA2" w:rsidRPr="009A61B1">
        <w:rPr>
          <w:rFonts w:ascii="Times New Roman" w:hAnsi="Times New Roman" w:cs="Times New Roman"/>
          <w:sz w:val="24"/>
          <w:szCs w:val="24"/>
          <w:lang w:eastAsia="ru-RU"/>
        </w:rPr>
        <w:t>н</w:t>
      </w:r>
      <w:r w:rsidR="008C6179" w:rsidRPr="009A61B1">
        <w:rPr>
          <w:rFonts w:ascii="Times New Roman" w:hAnsi="Times New Roman" w:cs="Times New Roman"/>
          <w:sz w:val="24"/>
          <w:szCs w:val="24"/>
          <w:lang w:eastAsia="ru-RU"/>
        </w:rPr>
        <w:t>а опалення на рівні, що відображає повну вартість газу та інших витрат, а також розроблення для підприємств теплопостачання адекватних механізмів стягнення платежів з домогосподарств.</w:t>
      </w:r>
    </w:p>
    <w:p w:rsidR="00192E76" w:rsidRDefault="008C6179" w:rsidP="002469EA">
      <w:pPr>
        <w:spacing w:after="0" w:line="288" w:lineRule="auto"/>
        <w:ind w:firstLine="567"/>
        <w:jc w:val="both"/>
        <w:rPr>
          <w:rFonts w:ascii="Times New Roman" w:hAnsi="Times New Roman" w:cs="Times New Roman"/>
          <w:sz w:val="24"/>
          <w:szCs w:val="24"/>
          <w:lang w:eastAsia="ru-RU"/>
        </w:rPr>
      </w:pPr>
      <w:r w:rsidRPr="009A61B1">
        <w:rPr>
          <w:rFonts w:ascii="Times New Roman" w:hAnsi="Times New Roman" w:cs="Times New Roman"/>
          <w:sz w:val="24"/>
          <w:szCs w:val="24"/>
          <w:lang w:eastAsia="ru-RU"/>
        </w:rPr>
        <w:t>При цьому витрати, не відшкодовані діючими тарифами, повинні включатися до тарифів при наступному їх перегляді. Основним інструментом соціального захисту малозабезпечених та вразливих господарств при перегляді тарифів на житлово-комунальні послуги має бути механізм надання субсидій</w:t>
      </w:r>
      <w:r w:rsidR="00C00881">
        <w:rPr>
          <w:rFonts w:ascii="Times New Roman" w:hAnsi="Times New Roman" w:cs="Times New Roman"/>
          <w:sz w:val="24"/>
          <w:szCs w:val="24"/>
          <w:lang w:eastAsia="ru-RU"/>
        </w:rPr>
        <w:t>.</w:t>
      </w:r>
    </w:p>
    <w:p w:rsidR="00C00881" w:rsidRPr="00C00881" w:rsidRDefault="00C00881" w:rsidP="002469EA">
      <w:pPr>
        <w:spacing w:after="0" w:line="288" w:lineRule="auto"/>
        <w:ind w:firstLine="567"/>
        <w:jc w:val="both"/>
        <w:rPr>
          <w:rFonts w:ascii="Times New Roman" w:hAnsi="Times New Roman" w:cs="Times New Roman"/>
          <w:sz w:val="24"/>
          <w:szCs w:val="24"/>
          <w:lang w:val="ru-RU" w:eastAsia="ru-RU"/>
        </w:rPr>
      </w:pPr>
      <w:r w:rsidRPr="009A61B1">
        <w:rPr>
          <w:rFonts w:ascii="Times New Roman" w:hAnsi="Times New Roman" w:cs="Times New Roman"/>
          <w:sz w:val="24"/>
          <w:szCs w:val="24"/>
          <w:lang w:eastAsia="ru-RU"/>
        </w:rPr>
        <w:t>У 2020 році з Державного бюджету України було надано НАК «Нафтогаз України» кошти у сумі 32,2 млрд грн в якості компенсації за виконання спеціальних обов’язків на ринку природного газу відповідно до Закону України «Про ринок природного газу»</w:t>
      </w:r>
      <w:r>
        <w:rPr>
          <w:rFonts w:ascii="Times New Roman" w:hAnsi="Times New Roman" w:cs="Times New Roman"/>
          <w:sz w:val="24"/>
          <w:szCs w:val="24"/>
          <w:lang w:val="ru-RU" w:eastAsia="ru-RU"/>
        </w:rPr>
        <w:t>;</w:t>
      </w:r>
    </w:p>
    <w:p w:rsidR="0017703B" w:rsidRPr="00D53617" w:rsidRDefault="003B098D" w:rsidP="002469EA">
      <w:pPr>
        <w:pStyle w:val="af"/>
        <w:spacing w:before="120" w:beforeAutospacing="0" w:after="120" w:afterAutospacing="0" w:line="288" w:lineRule="auto"/>
        <w:ind w:firstLine="567"/>
        <w:jc w:val="both"/>
        <w:rPr>
          <w:color w:val="000000"/>
          <w:lang w:eastAsia="ru-RU"/>
        </w:rPr>
      </w:pPr>
      <w:r>
        <w:rPr>
          <w:b/>
          <w:i/>
          <w:color w:val="000000" w:themeColor="text1"/>
          <w:lang w:eastAsia="ru-RU"/>
        </w:rPr>
        <w:t>3</w:t>
      </w:r>
      <w:r w:rsidR="0017703B" w:rsidRPr="00C11115">
        <w:rPr>
          <w:b/>
          <w:i/>
          <w:color w:val="000000" w:themeColor="text1"/>
          <w:lang w:eastAsia="ru-RU"/>
        </w:rPr>
        <w:t xml:space="preserve">) </w:t>
      </w:r>
      <w:r w:rsidR="0017703B" w:rsidRPr="00D53617">
        <w:rPr>
          <w:b/>
          <w:i/>
          <w:color w:val="000000"/>
          <w:lang w:eastAsia="ru-RU"/>
        </w:rPr>
        <w:t>виконання державою гарантійних зобов’язань у разі не</w:t>
      </w:r>
      <w:r w:rsidR="0017703B">
        <w:rPr>
          <w:b/>
          <w:i/>
          <w:color w:val="000000"/>
          <w:lang w:eastAsia="ru-RU"/>
        </w:rPr>
        <w:t xml:space="preserve">спроможності </w:t>
      </w:r>
      <w:r w:rsidR="0017703B" w:rsidRPr="00D53617">
        <w:rPr>
          <w:b/>
          <w:i/>
          <w:color w:val="000000"/>
          <w:lang w:eastAsia="ru-RU"/>
        </w:rPr>
        <w:t>суб’єктів господарювання виконати свої зобов’язання перед кредиторами</w:t>
      </w:r>
    </w:p>
    <w:p w:rsidR="0017703B" w:rsidRPr="00092937" w:rsidRDefault="0017703B" w:rsidP="002469EA">
      <w:pPr>
        <w:spacing w:after="120" w:line="288" w:lineRule="auto"/>
        <w:ind w:firstLine="567"/>
        <w:jc w:val="both"/>
        <w:rPr>
          <w:rFonts w:ascii="Times New Roman" w:hAnsi="Times New Roman" w:cs="Times New Roman"/>
          <w:color w:val="000000" w:themeColor="text1"/>
          <w:sz w:val="24"/>
          <w:szCs w:val="24"/>
          <w:lang w:eastAsia="ru-RU"/>
        </w:rPr>
      </w:pPr>
      <w:r w:rsidRPr="00092937">
        <w:rPr>
          <w:rFonts w:ascii="Times New Roman" w:hAnsi="Times New Roman" w:cs="Times New Roman"/>
          <w:color w:val="000000" w:themeColor="text1"/>
          <w:sz w:val="24"/>
          <w:szCs w:val="24"/>
          <w:lang w:eastAsia="ru-RU"/>
        </w:rPr>
        <w:t>Станом на 01.01.2021 загальна сума зобов’язань суб’єктів господарювання, включених до Переліку, за запозиченнями, залученими ними під державні гарантії становила 79,2 млрд грн та зросла на 16,9 млрд грн, або на 27,2% порівняно із заборгованістю станом на 01.01.2020.</w:t>
      </w:r>
    </w:p>
    <w:p w:rsidR="0017703B" w:rsidRDefault="0017703B" w:rsidP="00C20695">
      <w:pPr>
        <w:spacing w:after="0" w:line="240" w:lineRule="auto"/>
        <w:jc w:val="both"/>
        <w:rPr>
          <w:color w:val="000000" w:themeColor="text1"/>
          <w:lang w:eastAsia="ru-RU"/>
        </w:rPr>
      </w:pPr>
      <w:r>
        <w:rPr>
          <w:noProof/>
          <w:lang w:eastAsia="uk-UA"/>
        </w:rPr>
        <w:drawing>
          <wp:inline distT="0" distB="0" distL="0" distR="0" wp14:anchorId="4FC67EB9" wp14:editId="0CF860EB">
            <wp:extent cx="6248400" cy="3345180"/>
            <wp:effectExtent l="0" t="0" r="0" b="7620"/>
            <wp:docPr id="4" name="Діагра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192E76" w:rsidRPr="00192E76" w:rsidRDefault="00192E76" w:rsidP="00192E76">
      <w:pPr>
        <w:pStyle w:val="af"/>
        <w:spacing w:before="0" w:beforeAutospacing="0" w:after="120" w:afterAutospacing="0"/>
        <w:jc w:val="both"/>
        <w:rPr>
          <w:i/>
        </w:rPr>
      </w:pPr>
      <w:r w:rsidRPr="00192E76">
        <w:rPr>
          <w:i/>
        </w:rPr>
        <w:t>Джерело: дані Міністерства фінансів України.</w:t>
      </w:r>
    </w:p>
    <w:p w:rsidR="00192E76" w:rsidRPr="00192E76" w:rsidRDefault="00192E76" w:rsidP="002469EA">
      <w:pPr>
        <w:spacing w:after="0" w:line="288" w:lineRule="auto"/>
        <w:ind w:firstLine="567"/>
        <w:jc w:val="both"/>
        <w:rPr>
          <w:rFonts w:ascii="Times New Roman" w:hAnsi="Times New Roman" w:cs="Times New Roman"/>
          <w:sz w:val="24"/>
          <w:szCs w:val="24"/>
          <w:lang w:eastAsia="ru-RU"/>
        </w:rPr>
      </w:pPr>
      <w:r w:rsidRPr="00192E76">
        <w:rPr>
          <w:rFonts w:ascii="Times New Roman" w:hAnsi="Times New Roman" w:cs="Times New Roman"/>
          <w:sz w:val="24"/>
          <w:szCs w:val="24"/>
          <w:lang w:eastAsia="ru-RU"/>
        </w:rPr>
        <w:t>Найбільші суми зобов’язань за запозиченнями, отриманими під державні гарантії, станом на 01.01.2021 мали: АТ «ДПЗКУ» – 29,7 млрд грн, ДП «НАЕК «Енергоатом» – 20,1 млрд грн та НЕК «Укренерго» – 14,6 млрд гривень.</w:t>
      </w:r>
    </w:p>
    <w:p w:rsidR="00192E76" w:rsidRPr="00192E76" w:rsidRDefault="00192E76" w:rsidP="002469EA">
      <w:pPr>
        <w:spacing w:after="0" w:line="288" w:lineRule="auto"/>
        <w:ind w:firstLine="567"/>
        <w:jc w:val="both"/>
        <w:rPr>
          <w:rFonts w:ascii="Times New Roman" w:hAnsi="Times New Roman" w:cs="Times New Roman"/>
          <w:sz w:val="24"/>
          <w:szCs w:val="24"/>
          <w:lang w:eastAsia="ru-RU"/>
        </w:rPr>
      </w:pPr>
      <w:r w:rsidRPr="00192E76">
        <w:rPr>
          <w:rFonts w:ascii="Times New Roman" w:hAnsi="Times New Roman" w:cs="Times New Roman"/>
          <w:sz w:val="24"/>
          <w:szCs w:val="24"/>
          <w:lang w:eastAsia="ru-RU"/>
        </w:rPr>
        <w:t xml:space="preserve">У 2021 – 2024 роках суб’єкти господарювання, що включені до Переліку, мають здійснити платежі із погашення та обслуговування кредитів, отриманих під державні гарантії, в загальній </w:t>
      </w:r>
      <w:r w:rsidRPr="00192E76">
        <w:rPr>
          <w:rFonts w:ascii="Times New Roman" w:hAnsi="Times New Roman" w:cs="Times New Roman"/>
          <w:sz w:val="24"/>
          <w:szCs w:val="24"/>
          <w:lang w:eastAsia="ru-RU"/>
        </w:rPr>
        <w:br/>
        <w:t xml:space="preserve">сумі 58,9 млрд грн, у тому числі: у 2021 році – 13,0 млрд грн, у 2022 році – 16,1 млрд грн, у </w:t>
      </w:r>
      <w:r w:rsidRPr="00192E76">
        <w:rPr>
          <w:rFonts w:ascii="Times New Roman" w:hAnsi="Times New Roman" w:cs="Times New Roman"/>
          <w:sz w:val="24"/>
          <w:szCs w:val="24"/>
          <w:lang w:eastAsia="ru-RU"/>
        </w:rPr>
        <w:br/>
        <w:t>2023 році – 15,6 млрд грн, у 2024 рік – 14,2 млрд гривень.</w:t>
      </w:r>
    </w:p>
    <w:p w:rsidR="00192E76" w:rsidRPr="00192E76" w:rsidRDefault="00192E76" w:rsidP="002469EA">
      <w:pPr>
        <w:spacing w:after="120" w:line="288" w:lineRule="auto"/>
        <w:ind w:firstLine="567"/>
        <w:jc w:val="both"/>
        <w:rPr>
          <w:rFonts w:ascii="Times New Roman" w:hAnsi="Times New Roman" w:cs="Times New Roman"/>
          <w:sz w:val="24"/>
          <w:szCs w:val="24"/>
          <w:lang w:eastAsia="ru-RU"/>
        </w:rPr>
      </w:pPr>
      <w:r w:rsidRPr="00192E76">
        <w:rPr>
          <w:rFonts w:ascii="Times New Roman" w:hAnsi="Times New Roman" w:cs="Times New Roman"/>
          <w:sz w:val="24"/>
          <w:szCs w:val="24"/>
          <w:lang w:eastAsia="ru-RU"/>
        </w:rPr>
        <w:t xml:space="preserve">Значні суми виплат за гарантованими державою запозиченнями суб’єктів господарювання </w:t>
      </w:r>
      <w:r w:rsidRPr="00192E76">
        <w:rPr>
          <w:rFonts w:ascii="Times New Roman" w:hAnsi="Times New Roman" w:cs="Times New Roman"/>
          <w:spacing w:val="-6"/>
          <w:sz w:val="24"/>
          <w:szCs w:val="24"/>
          <w:lang w:eastAsia="ru-RU"/>
        </w:rPr>
        <w:t xml:space="preserve">у 2021 – 2024 роках мають здійснити, зокрема, АТ «ДПЗКУ» – 23,8 млрд грн, НЕК «Укренерго» – </w:t>
      </w:r>
      <w:r w:rsidRPr="00192E76">
        <w:rPr>
          <w:rFonts w:ascii="Times New Roman" w:hAnsi="Times New Roman" w:cs="Times New Roman"/>
          <w:spacing w:val="-6"/>
          <w:sz w:val="24"/>
          <w:szCs w:val="24"/>
          <w:lang w:eastAsia="ru-RU"/>
        </w:rPr>
        <w:br/>
        <w:t>15,7</w:t>
      </w:r>
      <w:r w:rsidRPr="00192E76">
        <w:rPr>
          <w:rFonts w:ascii="Times New Roman" w:hAnsi="Times New Roman" w:cs="Times New Roman"/>
          <w:sz w:val="24"/>
          <w:szCs w:val="24"/>
          <w:lang w:eastAsia="ru-RU"/>
        </w:rPr>
        <w:t xml:space="preserve"> млрд грн, ДП «НАЕК «Енергоатом» – 8,7 млрд грн, ПрАТ «</w:t>
      </w:r>
      <w:proofErr w:type="spellStart"/>
      <w:r w:rsidRPr="00192E76">
        <w:rPr>
          <w:rFonts w:ascii="Times New Roman" w:hAnsi="Times New Roman" w:cs="Times New Roman"/>
          <w:sz w:val="24"/>
          <w:szCs w:val="24"/>
          <w:lang w:eastAsia="ru-RU"/>
        </w:rPr>
        <w:t>Укргідроенерго</w:t>
      </w:r>
      <w:proofErr w:type="spellEnd"/>
      <w:r w:rsidRPr="00192E76">
        <w:rPr>
          <w:rFonts w:ascii="Times New Roman" w:hAnsi="Times New Roman" w:cs="Times New Roman"/>
          <w:sz w:val="24"/>
          <w:szCs w:val="24"/>
          <w:lang w:eastAsia="ru-RU"/>
        </w:rPr>
        <w:t xml:space="preserve">» – </w:t>
      </w:r>
      <w:r w:rsidRPr="00192E76">
        <w:rPr>
          <w:rFonts w:ascii="Times New Roman" w:hAnsi="Times New Roman" w:cs="Times New Roman"/>
          <w:sz w:val="24"/>
          <w:szCs w:val="24"/>
          <w:lang w:eastAsia="ru-RU"/>
        </w:rPr>
        <w:br/>
        <w:t>4,8 млрд гривень.</w:t>
      </w:r>
    </w:p>
    <w:p w:rsidR="0017703B" w:rsidRDefault="0017703B" w:rsidP="00E32097">
      <w:pPr>
        <w:spacing w:after="0" w:line="240" w:lineRule="auto"/>
        <w:jc w:val="both"/>
        <w:rPr>
          <w:color w:val="000000"/>
          <w:lang w:eastAsia="ru-RU"/>
        </w:rPr>
      </w:pPr>
      <w:r w:rsidRPr="002077B9">
        <w:rPr>
          <w:noProof/>
          <w:sz w:val="18"/>
          <w:szCs w:val="18"/>
          <w:lang w:eastAsia="uk-UA"/>
        </w:rPr>
        <w:drawing>
          <wp:inline distT="0" distB="0" distL="0" distR="0" wp14:anchorId="2FAAC574" wp14:editId="4565C1D1">
            <wp:extent cx="6339840" cy="3070860"/>
            <wp:effectExtent l="0" t="0" r="3810" b="15240"/>
            <wp:docPr id="21" name="Діагра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192E76" w:rsidRPr="00192E76" w:rsidRDefault="00192E76" w:rsidP="00192E76">
      <w:pPr>
        <w:pStyle w:val="af"/>
        <w:spacing w:before="0" w:beforeAutospacing="0" w:after="120" w:afterAutospacing="0"/>
        <w:jc w:val="both"/>
        <w:rPr>
          <w:i/>
        </w:rPr>
      </w:pPr>
      <w:r w:rsidRPr="00192E76">
        <w:rPr>
          <w:i/>
        </w:rPr>
        <w:t>Джерело: дані Міністерства фінансів України.</w:t>
      </w:r>
    </w:p>
    <w:p w:rsidR="00192E76" w:rsidRPr="00192E76" w:rsidRDefault="00192E76" w:rsidP="002469EA">
      <w:pPr>
        <w:spacing w:after="0" w:line="288" w:lineRule="auto"/>
        <w:ind w:firstLine="567"/>
        <w:jc w:val="both"/>
        <w:rPr>
          <w:rFonts w:ascii="Times New Roman" w:hAnsi="Times New Roman" w:cs="Times New Roman"/>
          <w:sz w:val="24"/>
          <w:szCs w:val="24"/>
          <w:lang w:eastAsia="ru-RU"/>
        </w:rPr>
      </w:pPr>
      <w:r w:rsidRPr="00192E76">
        <w:rPr>
          <w:rFonts w:ascii="Times New Roman" w:hAnsi="Times New Roman" w:cs="Times New Roman"/>
          <w:sz w:val="24"/>
          <w:szCs w:val="24"/>
          <w:lang w:eastAsia="ru-RU"/>
        </w:rPr>
        <w:t>Існують ризики невиконання у 2021 – 2024 роках суб’єктами господарювання своїх зобов’язань перед кредиторами за запозиченнями, залученими під державні гарантії.</w:t>
      </w:r>
    </w:p>
    <w:p w:rsidR="00192E76" w:rsidRPr="00192E76" w:rsidRDefault="00192E76" w:rsidP="002469EA">
      <w:pPr>
        <w:spacing w:after="0" w:line="288" w:lineRule="auto"/>
        <w:ind w:firstLine="567"/>
        <w:jc w:val="both"/>
        <w:rPr>
          <w:rFonts w:ascii="Times New Roman" w:hAnsi="Times New Roman" w:cs="Times New Roman"/>
          <w:sz w:val="24"/>
          <w:szCs w:val="24"/>
          <w:lang w:eastAsia="ru-RU"/>
        </w:rPr>
      </w:pPr>
      <w:r w:rsidRPr="00192E76">
        <w:rPr>
          <w:rFonts w:ascii="Times New Roman" w:hAnsi="Times New Roman" w:cs="Times New Roman"/>
          <w:sz w:val="24"/>
          <w:szCs w:val="24"/>
          <w:lang w:eastAsia="ru-RU"/>
        </w:rPr>
        <w:t>Так, у І півріччі 2021 року державою вже виконано зобов’язання Державної іпотечної установи (далі – ДІУ) за облігаціями від 27.12.2013 у сумі 1,75 млрд гривень.</w:t>
      </w:r>
    </w:p>
    <w:p w:rsidR="00192E76" w:rsidRPr="00192E76" w:rsidRDefault="00192E76" w:rsidP="002469EA">
      <w:pPr>
        <w:spacing w:after="0" w:line="288" w:lineRule="auto"/>
        <w:ind w:firstLine="567"/>
        <w:jc w:val="both"/>
        <w:rPr>
          <w:rFonts w:ascii="Times New Roman" w:hAnsi="Times New Roman" w:cs="Times New Roman"/>
          <w:sz w:val="24"/>
          <w:szCs w:val="24"/>
          <w:lang w:eastAsia="ru-RU"/>
        </w:rPr>
      </w:pPr>
      <w:r w:rsidRPr="00192E76">
        <w:rPr>
          <w:rFonts w:ascii="Times New Roman" w:hAnsi="Times New Roman" w:cs="Times New Roman"/>
          <w:sz w:val="24"/>
          <w:szCs w:val="24"/>
          <w:lang w:eastAsia="ru-RU"/>
        </w:rPr>
        <w:t xml:space="preserve">З метою забезпечення громадян України житлом та врегулювання питань фінансово-господарської діяльності ДІУ Верховною Радою України прийнято </w:t>
      </w:r>
      <w:r w:rsidR="00F86B77">
        <w:rPr>
          <w:rFonts w:ascii="Times New Roman" w:hAnsi="Times New Roman" w:cs="Times New Roman"/>
          <w:sz w:val="24"/>
          <w:szCs w:val="24"/>
          <w:lang w:eastAsia="ru-RU"/>
        </w:rPr>
        <w:t>З</w:t>
      </w:r>
      <w:r w:rsidRPr="00192E76">
        <w:rPr>
          <w:rFonts w:ascii="Times New Roman" w:hAnsi="Times New Roman" w:cs="Times New Roman"/>
          <w:sz w:val="24"/>
          <w:szCs w:val="24"/>
          <w:lang w:eastAsia="ru-RU"/>
        </w:rPr>
        <w:t xml:space="preserve">акон </w:t>
      </w:r>
      <w:r w:rsidR="00F86B77">
        <w:rPr>
          <w:rFonts w:ascii="Times New Roman" w:hAnsi="Times New Roman" w:cs="Times New Roman"/>
          <w:sz w:val="24"/>
          <w:szCs w:val="24"/>
          <w:lang w:eastAsia="ru-RU"/>
        </w:rPr>
        <w:t xml:space="preserve">України </w:t>
      </w:r>
      <w:r w:rsidRPr="00192E76">
        <w:rPr>
          <w:rFonts w:ascii="Times New Roman" w:hAnsi="Times New Roman" w:cs="Times New Roman"/>
          <w:sz w:val="24"/>
          <w:szCs w:val="24"/>
          <w:lang w:eastAsia="ru-RU"/>
        </w:rPr>
        <w:t xml:space="preserve">«Про внесення змін до Закону України «Про Державний бюджет України на 2021 рік» </w:t>
      </w:r>
      <w:r w:rsidR="00F86B77">
        <w:rPr>
          <w:rFonts w:ascii="Times New Roman" w:hAnsi="Times New Roman" w:cs="Times New Roman"/>
          <w:sz w:val="24"/>
          <w:szCs w:val="24"/>
          <w:lang w:eastAsia="ru-RU"/>
        </w:rPr>
        <w:t>(</w:t>
      </w:r>
      <w:r w:rsidRPr="00192E76">
        <w:rPr>
          <w:rFonts w:ascii="Times New Roman" w:hAnsi="Times New Roman" w:cs="Times New Roman"/>
          <w:sz w:val="24"/>
          <w:szCs w:val="24"/>
          <w:lang w:eastAsia="ru-RU"/>
        </w:rPr>
        <w:t xml:space="preserve">від 29.04.2021 № 1434) </w:t>
      </w:r>
      <w:hyperlink r:id="rId23" w:history="1">
        <w:r w:rsidRPr="00192E76">
          <w:rPr>
            <w:rFonts w:ascii="Times New Roman" w:hAnsi="Times New Roman" w:cs="Times New Roman"/>
            <w:sz w:val="24"/>
            <w:szCs w:val="24"/>
            <w:lang w:eastAsia="ru-RU"/>
          </w:rPr>
          <w:t>згідно з яким</w:t>
        </w:r>
      </w:hyperlink>
      <w:r w:rsidRPr="00192E76">
        <w:rPr>
          <w:rFonts w:ascii="Times New Roman" w:hAnsi="Times New Roman" w:cs="Times New Roman"/>
          <w:sz w:val="24"/>
          <w:szCs w:val="24"/>
          <w:lang w:eastAsia="ru-RU"/>
        </w:rPr>
        <w:t xml:space="preserve"> передбачено </w:t>
      </w:r>
      <w:proofErr w:type="spellStart"/>
      <w:r w:rsidRPr="00192E76">
        <w:rPr>
          <w:rFonts w:ascii="Times New Roman" w:hAnsi="Times New Roman" w:cs="Times New Roman"/>
          <w:sz w:val="24"/>
          <w:szCs w:val="24"/>
          <w:lang w:eastAsia="ru-RU"/>
        </w:rPr>
        <w:t>докапіталізацію</w:t>
      </w:r>
      <w:proofErr w:type="spellEnd"/>
      <w:r w:rsidRPr="00192E76">
        <w:rPr>
          <w:rFonts w:ascii="Times New Roman" w:hAnsi="Times New Roman" w:cs="Times New Roman"/>
          <w:sz w:val="24"/>
          <w:szCs w:val="24"/>
          <w:lang w:eastAsia="ru-RU"/>
        </w:rPr>
        <w:t xml:space="preserve"> </w:t>
      </w:r>
      <w:hyperlink r:id="rId24" w:history="1">
        <w:r w:rsidRPr="00192E76">
          <w:rPr>
            <w:rFonts w:ascii="Times New Roman" w:hAnsi="Times New Roman" w:cs="Times New Roman"/>
            <w:sz w:val="24"/>
            <w:szCs w:val="24"/>
            <w:lang w:eastAsia="ru-RU"/>
          </w:rPr>
          <w:t>ПрАТ «</w:t>
        </w:r>
        <w:proofErr w:type="spellStart"/>
        <w:r w:rsidRPr="00192E76">
          <w:rPr>
            <w:rFonts w:ascii="Times New Roman" w:hAnsi="Times New Roman" w:cs="Times New Roman"/>
            <w:sz w:val="24"/>
            <w:szCs w:val="24"/>
            <w:lang w:eastAsia="ru-RU"/>
          </w:rPr>
          <w:t>Укрфінжитло</w:t>
        </w:r>
        <w:proofErr w:type="spellEnd"/>
        <w:r w:rsidRPr="00192E76">
          <w:rPr>
            <w:rFonts w:ascii="Times New Roman" w:hAnsi="Times New Roman" w:cs="Times New Roman"/>
            <w:sz w:val="24"/>
            <w:szCs w:val="24"/>
            <w:lang w:eastAsia="ru-RU"/>
          </w:rPr>
          <w:t>»</w:t>
        </w:r>
      </w:hyperlink>
      <w:r w:rsidRPr="00192E76">
        <w:rPr>
          <w:rFonts w:ascii="Times New Roman" w:hAnsi="Times New Roman" w:cs="Times New Roman"/>
          <w:sz w:val="24"/>
          <w:szCs w:val="24"/>
          <w:lang w:eastAsia="ru-RU"/>
        </w:rPr>
        <w:t xml:space="preserve"> за рахунок ОВДП на 20 млрд грн та приєднання ДІУ до </w:t>
      </w:r>
      <w:hyperlink r:id="rId25" w:history="1">
        <w:r w:rsidRPr="00192E76">
          <w:rPr>
            <w:rFonts w:ascii="Times New Roman" w:hAnsi="Times New Roman" w:cs="Times New Roman"/>
            <w:sz w:val="24"/>
            <w:szCs w:val="24"/>
            <w:lang w:eastAsia="ru-RU"/>
          </w:rPr>
          <w:t>ПрАТ «</w:t>
        </w:r>
        <w:proofErr w:type="spellStart"/>
        <w:r w:rsidRPr="00192E76">
          <w:rPr>
            <w:rFonts w:ascii="Times New Roman" w:hAnsi="Times New Roman" w:cs="Times New Roman"/>
            <w:sz w:val="24"/>
            <w:szCs w:val="24"/>
            <w:lang w:eastAsia="ru-RU"/>
          </w:rPr>
          <w:t>Укрфінжитло</w:t>
        </w:r>
        <w:proofErr w:type="spellEnd"/>
        <w:r w:rsidRPr="00192E76">
          <w:rPr>
            <w:rFonts w:ascii="Times New Roman" w:hAnsi="Times New Roman" w:cs="Times New Roman"/>
            <w:sz w:val="24"/>
            <w:szCs w:val="24"/>
            <w:lang w:eastAsia="ru-RU"/>
          </w:rPr>
          <w:t>»</w:t>
        </w:r>
      </w:hyperlink>
      <w:r w:rsidRPr="00192E76">
        <w:rPr>
          <w:rFonts w:ascii="Times New Roman" w:hAnsi="Times New Roman" w:cs="Times New Roman"/>
          <w:sz w:val="24"/>
          <w:szCs w:val="24"/>
          <w:lang w:eastAsia="ru-RU"/>
        </w:rPr>
        <w:t>.</w:t>
      </w:r>
    </w:p>
    <w:p w:rsidR="00192E76" w:rsidRPr="00192E76" w:rsidRDefault="00192E76" w:rsidP="002469EA">
      <w:pPr>
        <w:spacing w:after="0" w:line="288" w:lineRule="auto"/>
        <w:ind w:firstLine="567"/>
        <w:jc w:val="both"/>
        <w:rPr>
          <w:rFonts w:ascii="Times New Roman" w:hAnsi="Times New Roman" w:cs="Times New Roman"/>
          <w:sz w:val="24"/>
          <w:szCs w:val="24"/>
          <w:lang w:eastAsia="ru-RU"/>
        </w:rPr>
      </w:pPr>
      <w:r w:rsidRPr="00192E76">
        <w:rPr>
          <w:rFonts w:ascii="Times New Roman" w:hAnsi="Times New Roman" w:cs="Times New Roman"/>
          <w:sz w:val="24"/>
          <w:szCs w:val="24"/>
          <w:lang w:eastAsia="ru-RU"/>
        </w:rPr>
        <w:t xml:space="preserve">Також існують ризики настання у 2021 році гарантійних випадків за зобов’язаннями підприємств оборонного комплексу. Так, у державному бюджеті на 2021 рік передбачено видатки бюджетних коштів на сплату можливих гарантійних випадків за зобов’язаннями </w:t>
      </w:r>
      <w:r w:rsidRPr="00192E76">
        <w:rPr>
          <w:rFonts w:ascii="Times New Roman" w:hAnsi="Times New Roman" w:cs="Times New Roman"/>
          <w:sz w:val="24"/>
          <w:szCs w:val="24"/>
          <w:lang w:eastAsia="ru-RU"/>
        </w:rPr>
        <w:br/>
        <w:t>ДП «Житомирський бронетанковий завод» у сумі 0,2 млрд гривень.</w:t>
      </w:r>
    </w:p>
    <w:p w:rsidR="00192E76" w:rsidRPr="00192E76" w:rsidRDefault="00192E76" w:rsidP="002469EA">
      <w:pPr>
        <w:spacing w:after="0" w:line="288" w:lineRule="auto"/>
        <w:ind w:firstLine="567"/>
        <w:jc w:val="both"/>
        <w:rPr>
          <w:rFonts w:ascii="Times New Roman" w:hAnsi="Times New Roman" w:cs="Times New Roman"/>
          <w:sz w:val="24"/>
          <w:szCs w:val="24"/>
          <w:lang w:eastAsia="ru-RU"/>
        </w:rPr>
      </w:pPr>
      <w:r w:rsidRPr="00192E76">
        <w:rPr>
          <w:rFonts w:ascii="Times New Roman" w:hAnsi="Times New Roman" w:cs="Times New Roman"/>
          <w:sz w:val="24"/>
          <w:szCs w:val="24"/>
          <w:lang w:eastAsia="ru-RU"/>
        </w:rPr>
        <w:t>У 2022 – 2024 роках існують ризики виникнення гарантійних випадків за зобов’язаннями ДП ДГП «</w:t>
      </w:r>
      <w:proofErr w:type="spellStart"/>
      <w:r w:rsidRPr="00192E76">
        <w:rPr>
          <w:rFonts w:ascii="Times New Roman" w:hAnsi="Times New Roman" w:cs="Times New Roman"/>
          <w:sz w:val="24"/>
          <w:szCs w:val="24"/>
          <w:lang w:eastAsia="ru-RU"/>
        </w:rPr>
        <w:t>Спецтехноекспорт</w:t>
      </w:r>
      <w:proofErr w:type="spellEnd"/>
      <w:r w:rsidRPr="00192E76">
        <w:rPr>
          <w:rFonts w:ascii="Times New Roman" w:hAnsi="Times New Roman" w:cs="Times New Roman"/>
          <w:sz w:val="24"/>
          <w:szCs w:val="24"/>
          <w:lang w:eastAsia="ru-RU"/>
        </w:rPr>
        <w:t>» у сумі 0,3 млрд грн щорічно.</w:t>
      </w:r>
    </w:p>
    <w:p w:rsidR="00192E76" w:rsidRPr="00192E76" w:rsidRDefault="00192E76" w:rsidP="002469EA">
      <w:pPr>
        <w:spacing w:after="0" w:line="288" w:lineRule="auto"/>
        <w:ind w:firstLine="567"/>
        <w:jc w:val="both"/>
        <w:rPr>
          <w:rFonts w:ascii="Times New Roman" w:hAnsi="Times New Roman" w:cs="Times New Roman"/>
          <w:sz w:val="24"/>
          <w:szCs w:val="24"/>
          <w:lang w:eastAsia="ru-RU"/>
        </w:rPr>
      </w:pPr>
      <w:r w:rsidRPr="00192E76">
        <w:rPr>
          <w:rFonts w:ascii="Times New Roman" w:hAnsi="Times New Roman" w:cs="Times New Roman"/>
          <w:sz w:val="24"/>
          <w:szCs w:val="24"/>
          <w:lang w:eastAsia="ru-RU"/>
        </w:rPr>
        <w:t xml:space="preserve">Крім того, враховуючи збиткову діяльність АТ «ДПЗКУ», висока ймовірність настання гарантійних випадків за зобов’язаннями товариства у 2022 році – 6,3 млрд грн, у 2023 році – </w:t>
      </w:r>
      <w:r w:rsidRPr="00192E76">
        <w:rPr>
          <w:rFonts w:ascii="Times New Roman" w:hAnsi="Times New Roman" w:cs="Times New Roman"/>
          <w:sz w:val="24"/>
          <w:szCs w:val="24"/>
          <w:lang w:eastAsia="ru-RU"/>
        </w:rPr>
        <w:br/>
        <w:t>6,0 млрд грн, у 2024 році – 5,7 млрд гривень;</w:t>
      </w:r>
    </w:p>
    <w:p w:rsidR="0017703B" w:rsidRPr="00C510EB" w:rsidRDefault="00FB0BA1" w:rsidP="002469EA">
      <w:pPr>
        <w:pStyle w:val="af"/>
        <w:spacing w:before="120" w:beforeAutospacing="0" w:after="120" w:afterAutospacing="0" w:line="288" w:lineRule="auto"/>
        <w:ind w:firstLine="567"/>
        <w:jc w:val="both"/>
        <w:rPr>
          <w:b/>
          <w:i/>
          <w:color w:val="000000" w:themeColor="text1"/>
          <w:lang w:eastAsia="ru-RU"/>
        </w:rPr>
      </w:pPr>
      <w:r>
        <w:rPr>
          <w:b/>
          <w:i/>
          <w:color w:val="000000" w:themeColor="text1"/>
          <w:lang w:eastAsia="ru-RU"/>
        </w:rPr>
        <w:t>4</w:t>
      </w:r>
      <w:r w:rsidR="0017703B" w:rsidRPr="00CB56BA">
        <w:rPr>
          <w:b/>
          <w:i/>
          <w:color w:val="000000" w:themeColor="text1"/>
          <w:lang w:eastAsia="ru-RU"/>
        </w:rPr>
        <w:t>) ризик</w:t>
      </w:r>
      <w:r w:rsidR="0017703B" w:rsidRPr="00C510EB">
        <w:rPr>
          <w:b/>
          <w:i/>
          <w:color w:val="000000" w:themeColor="text1"/>
          <w:lang w:eastAsia="ru-RU"/>
        </w:rPr>
        <w:t>и, пов’язані із борговим навантаженням суб’єктів господарювання в іноземній валюті</w:t>
      </w:r>
    </w:p>
    <w:p w:rsidR="0017703B" w:rsidRPr="00CB56BA" w:rsidRDefault="0017703B" w:rsidP="002469EA">
      <w:pPr>
        <w:spacing w:after="120" w:line="288" w:lineRule="auto"/>
        <w:ind w:firstLine="567"/>
        <w:jc w:val="both"/>
        <w:rPr>
          <w:rFonts w:ascii="Times New Roman" w:hAnsi="Times New Roman" w:cs="Times New Roman"/>
          <w:color w:val="000000" w:themeColor="text1"/>
          <w:sz w:val="24"/>
          <w:szCs w:val="24"/>
          <w:lang w:eastAsia="ru-RU"/>
        </w:rPr>
      </w:pPr>
      <w:r w:rsidRPr="00CB56BA">
        <w:rPr>
          <w:rFonts w:ascii="Times New Roman" w:hAnsi="Times New Roman" w:cs="Times New Roman"/>
          <w:color w:val="000000" w:themeColor="text1"/>
          <w:sz w:val="24"/>
          <w:szCs w:val="24"/>
          <w:lang w:eastAsia="ru-RU"/>
        </w:rPr>
        <w:t>Загальна сума зобов’язань суб’єктів господарювання, включених до Переліку, за запозиченнями в іноземних валютах станом на 01.01.2021 становить 191,6 млрд грн, або 91,2% загальної суми зобов’язань за запозиченнями таких суб’єктів господарювання.</w:t>
      </w:r>
    </w:p>
    <w:p w:rsidR="0017703B" w:rsidRPr="00C510EB" w:rsidRDefault="0017703B" w:rsidP="00E32097">
      <w:pPr>
        <w:spacing w:after="0" w:line="240" w:lineRule="auto"/>
        <w:jc w:val="both"/>
        <w:rPr>
          <w:color w:val="000000" w:themeColor="text1"/>
          <w:lang w:eastAsia="ru-RU"/>
        </w:rPr>
      </w:pPr>
      <w:r>
        <w:rPr>
          <w:noProof/>
          <w:lang w:eastAsia="uk-UA"/>
        </w:rPr>
        <w:drawing>
          <wp:inline distT="0" distB="0" distL="0" distR="0" wp14:anchorId="6BC93E1F" wp14:editId="22612B3E">
            <wp:extent cx="6126480" cy="4061460"/>
            <wp:effectExtent l="0" t="0" r="7620" b="15240"/>
            <wp:docPr id="25" name="Діаграма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17703B" w:rsidRPr="00EC6710" w:rsidRDefault="0017703B" w:rsidP="0017703B">
      <w:pPr>
        <w:pStyle w:val="af"/>
        <w:spacing w:before="0" w:beforeAutospacing="0" w:after="120" w:afterAutospacing="0"/>
        <w:jc w:val="both"/>
        <w:rPr>
          <w:i/>
        </w:rPr>
      </w:pPr>
      <w:r w:rsidRPr="00EC6710">
        <w:rPr>
          <w:i/>
        </w:rPr>
        <w:t>Джерело: дані суб’єктів господарювання.</w:t>
      </w:r>
    </w:p>
    <w:p w:rsidR="0017703B" w:rsidRPr="00EC6710" w:rsidRDefault="0017703B" w:rsidP="00EC6710">
      <w:pPr>
        <w:spacing w:after="0" w:line="240" w:lineRule="auto"/>
        <w:ind w:firstLine="567"/>
        <w:jc w:val="both"/>
        <w:rPr>
          <w:rFonts w:ascii="Times New Roman" w:hAnsi="Times New Roman" w:cs="Times New Roman"/>
          <w:color w:val="000000" w:themeColor="text1"/>
          <w:sz w:val="24"/>
          <w:szCs w:val="24"/>
          <w:lang w:eastAsia="ru-RU"/>
        </w:rPr>
      </w:pPr>
      <w:r w:rsidRPr="00EC6710">
        <w:rPr>
          <w:rFonts w:ascii="Times New Roman" w:hAnsi="Times New Roman" w:cs="Times New Roman"/>
          <w:color w:val="000000" w:themeColor="text1"/>
          <w:sz w:val="24"/>
          <w:szCs w:val="24"/>
          <w:lang w:eastAsia="ru-RU"/>
        </w:rPr>
        <w:t>Зобов’язання за запозиченнями виключно в іноземних валютах станом на 01.01.2021 мали: АТ «ДПЗКУ», НЕК «Укренерго», ДП «НВКГ «Зоря»-«</w:t>
      </w:r>
      <w:proofErr w:type="spellStart"/>
      <w:r w:rsidRPr="00EC6710">
        <w:rPr>
          <w:rFonts w:ascii="Times New Roman" w:hAnsi="Times New Roman" w:cs="Times New Roman"/>
          <w:color w:val="000000" w:themeColor="text1"/>
          <w:sz w:val="24"/>
          <w:szCs w:val="24"/>
          <w:lang w:eastAsia="ru-RU"/>
        </w:rPr>
        <w:t>Машпроект</w:t>
      </w:r>
      <w:proofErr w:type="spellEnd"/>
      <w:r w:rsidRPr="00EC6710">
        <w:rPr>
          <w:rFonts w:ascii="Times New Roman" w:hAnsi="Times New Roman" w:cs="Times New Roman"/>
          <w:color w:val="000000" w:themeColor="text1"/>
          <w:sz w:val="24"/>
          <w:szCs w:val="24"/>
          <w:lang w:eastAsia="ru-RU"/>
        </w:rPr>
        <w:t xml:space="preserve">», ДП «ВО Південний машинобудівний завод </w:t>
      </w:r>
      <w:proofErr w:type="spellStart"/>
      <w:r w:rsidRPr="00EC6710">
        <w:rPr>
          <w:rFonts w:ascii="Times New Roman" w:hAnsi="Times New Roman" w:cs="Times New Roman"/>
          <w:color w:val="000000" w:themeColor="text1"/>
          <w:sz w:val="24"/>
          <w:szCs w:val="24"/>
          <w:lang w:eastAsia="ru-RU"/>
        </w:rPr>
        <w:t>ім</w:t>
      </w:r>
      <w:proofErr w:type="spellEnd"/>
      <w:r w:rsidRPr="00EC6710">
        <w:rPr>
          <w:rFonts w:ascii="Times New Roman" w:hAnsi="Times New Roman" w:cs="Times New Roman"/>
          <w:color w:val="000000" w:themeColor="text1"/>
          <w:sz w:val="24"/>
          <w:szCs w:val="24"/>
          <w:lang w:eastAsia="ru-RU"/>
        </w:rPr>
        <w:t xml:space="preserve"> О. М. Макарова» (</w:t>
      </w:r>
      <w:proofErr w:type="spellStart"/>
      <w:r w:rsidRPr="00EC6710">
        <w:rPr>
          <w:rFonts w:ascii="Times New Roman" w:hAnsi="Times New Roman" w:cs="Times New Roman"/>
          <w:color w:val="000000" w:themeColor="text1"/>
          <w:sz w:val="24"/>
          <w:szCs w:val="24"/>
          <w:lang w:eastAsia="ru-RU"/>
        </w:rPr>
        <w:t>Південмаш</w:t>
      </w:r>
      <w:proofErr w:type="spellEnd"/>
      <w:r w:rsidRPr="00EC6710">
        <w:rPr>
          <w:rFonts w:ascii="Times New Roman" w:hAnsi="Times New Roman" w:cs="Times New Roman"/>
          <w:color w:val="000000" w:themeColor="text1"/>
          <w:sz w:val="24"/>
          <w:szCs w:val="24"/>
          <w:lang w:eastAsia="ru-RU"/>
        </w:rPr>
        <w:t>) та ДП «МА «Бориспіль». Частка запозичень в іноземних валютах інших суб’єктів господарювання знаходилась в межах від 71,8% до 92,8%.</w:t>
      </w:r>
    </w:p>
    <w:p w:rsidR="0017703B" w:rsidRPr="00EC6710" w:rsidRDefault="0017703B" w:rsidP="00EC6710">
      <w:pPr>
        <w:spacing w:after="0" w:line="240" w:lineRule="auto"/>
        <w:ind w:firstLine="567"/>
        <w:jc w:val="both"/>
        <w:rPr>
          <w:rFonts w:ascii="Times New Roman" w:hAnsi="Times New Roman" w:cs="Times New Roman"/>
          <w:color w:val="000000" w:themeColor="text1"/>
          <w:sz w:val="24"/>
          <w:szCs w:val="24"/>
          <w:lang w:eastAsia="ru-RU"/>
        </w:rPr>
      </w:pPr>
      <w:r w:rsidRPr="00EC6710">
        <w:rPr>
          <w:rFonts w:ascii="Times New Roman" w:hAnsi="Times New Roman" w:cs="Times New Roman"/>
          <w:color w:val="000000" w:themeColor="text1"/>
          <w:sz w:val="24"/>
          <w:szCs w:val="24"/>
          <w:lang w:eastAsia="ru-RU"/>
        </w:rPr>
        <w:t>Вказане свідчить про значну вразливість суб’єктів господарювання до ризиків, пов’язаних із коливанням курсу національної валюти по відношенню до іноземних валют та отримання курсових збитків внаслідок погашення та обслуговування таких зобов’язань, що у подальшому негативно впливає на обсяги надходжень до державного бюджету.</w:t>
      </w:r>
    </w:p>
    <w:p w:rsidR="00192E76" w:rsidRPr="00EC6710" w:rsidRDefault="00192E76" w:rsidP="00192E76">
      <w:pPr>
        <w:spacing w:after="0" w:line="240" w:lineRule="auto"/>
        <w:ind w:firstLine="567"/>
        <w:jc w:val="both"/>
        <w:rPr>
          <w:rFonts w:ascii="Times New Roman" w:hAnsi="Times New Roman" w:cs="Times New Roman"/>
          <w:color w:val="000000" w:themeColor="text1"/>
          <w:sz w:val="24"/>
          <w:szCs w:val="24"/>
          <w:lang w:eastAsia="ru-RU"/>
        </w:rPr>
      </w:pPr>
      <w:r w:rsidRPr="00EC6710">
        <w:rPr>
          <w:rFonts w:ascii="Times New Roman" w:hAnsi="Times New Roman" w:cs="Times New Roman"/>
          <w:color w:val="000000" w:themeColor="text1"/>
          <w:sz w:val="24"/>
          <w:szCs w:val="24"/>
          <w:lang w:eastAsia="ru-RU"/>
        </w:rPr>
        <w:t>При цьому вагома частка запозичень в іноземній валюті зазначених суб’єктів господарювання, отримана ними під державні гарантії, що становить ризики зростання сум виплат держави за зобов’язаннями позичальників у разі настання гарантійних випадків внаслідок їх неспроможності виконувати взяті зобов’язання через погіршення фінансового стану</w:t>
      </w:r>
      <w:r>
        <w:rPr>
          <w:rFonts w:ascii="Times New Roman" w:hAnsi="Times New Roman" w:cs="Times New Roman"/>
          <w:color w:val="000000" w:themeColor="text1"/>
          <w:sz w:val="24"/>
          <w:szCs w:val="24"/>
          <w:lang w:eastAsia="ru-RU"/>
        </w:rPr>
        <w:t xml:space="preserve"> таких суб’єктів </w:t>
      </w:r>
      <w:r w:rsidRPr="00192E76">
        <w:rPr>
          <w:rFonts w:ascii="Times New Roman" w:hAnsi="Times New Roman" w:cs="Times New Roman"/>
          <w:sz w:val="24"/>
          <w:szCs w:val="24"/>
          <w:lang w:eastAsia="ru-RU"/>
        </w:rPr>
        <w:t>господарювання;</w:t>
      </w:r>
    </w:p>
    <w:p w:rsidR="0017703B" w:rsidRPr="00436ED8" w:rsidRDefault="00FB0BA1" w:rsidP="00EC6710">
      <w:pPr>
        <w:spacing w:before="120" w:after="120" w:line="240" w:lineRule="auto"/>
        <w:ind w:firstLine="567"/>
        <w:jc w:val="both"/>
        <w:rPr>
          <w:b/>
          <w:i/>
        </w:rPr>
      </w:pPr>
      <w:r>
        <w:rPr>
          <w:rFonts w:ascii="Times New Roman" w:hAnsi="Times New Roman" w:cs="Times New Roman"/>
          <w:b/>
          <w:i/>
          <w:color w:val="000000" w:themeColor="text1"/>
          <w:sz w:val="24"/>
          <w:szCs w:val="24"/>
          <w:lang w:eastAsia="ru-RU"/>
        </w:rPr>
        <w:t>5</w:t>
      </w:r>
      <w:r w:rsidR="0017703B" w:rsidRPr="00EC6710">
        <w:rPr>
          <w:rFonts w:ascii="Times New Roman" w:hAnsi="Times New Roman" w:cs="Times New Roman"/>
          <w:b/>
          <w:i/>
          <w:color w:val="000000" w:themeColor="text1"/>
          <w:sz w:val="24"/>
          <w:szCs w:val="24"/>
          <w:lang w:eastAsia="ru-RU"/>
        </w:rPr>
        <w:t>) ризики, пов’язані із невиконання суб’єктами господарювання державного сектору економіки судових рішень</w:t>
      </w:r>
    </w:p>
    <w:p w:rsidR="006E581F" w:rsidRPr="006E581F" w:rsidRDefault="006E581F" w:rsidP="006E581F">
      <w:pPr>
        <w:spacing w:after="0" w:line="240" w:lineRule="auto"/>
        <w:ind w:firstLine="567"/>
        <w:jc w:val="both"/>
        <w:rPr>
          <w:rFonts w:ascii="Times New Roman" w:hAnsi="Times New Roman" w:cs="Times New Roman"/>
          <w:sz w:val="24"/>
          <w:szCs w:val="24"/>
          <w:lang w:eastAsia="ru-RU"/>
        </w:rPr>
      </w:pPr>
      <w:r w:rsidRPr="006E581F">
        <w:rPr>
          <w:rFonts w:ascii="Times New Roman" w:hAnsi="Times New Roman" w:cs="Times New Roman"/>
          <w:sz w:val="24"/>
          <w:szCs w:val="24"/>
          <w:lang w:eastAsia="ru-RU"/>
        </w:rPr>
        <w:t>Частиною другою статті 4 Закону України «Про гарантії держави щодо виконання судових рішень» (далі – Закон) встановлено, що у разі якщо рішення суду про стягнення коштів, зокрема з державного підприємства не виконано протягом шести місяців з дня винесення постанови про відкриття виконавчого провадження, його виконання здійснюється за рахунок коштів, передбачених за бюджетною програмою для забезпечення виконання рішень суду.</w:t>
      </w:r>
    </w:p>
    <w:p w:rsidR="006E581F" w:rsidRPr="006E581F" w:rsidRDefault="006E581F" w:rsidP="006E581F">
      <w:pPr>
        <w:spacing w:after="0" w:line="240" w:lineRule="auto"/>
        <w:ind w:firstLine="567"/>
        <w:jc w:val="both"/>
        <w:rPr>
          <w:rFonts w:ascii="Times New Roman" w:hAnsi="Times New Roman" w:cs="Times New Roman"/>
          <w:sz w:val="24"/>
          <w:szCs w:val="24"/>
          <w:lang w:eastAsia="ru-RU"/>
        </w:rPr>
      </w:pPr>
      <w:r w:rsidRPr="006E581F">
        <w:rPr>
          <w:rFonts w:ascii="Times New Roman" w:hAnsi="Times New Roman" w:cs="Times New Roman"/>
          <w:sz w:val="24"/>
          <w:szCs w:val="24"/>
          <w:lang w:eastAsia="ru-RU"/>
        </w:rPr>
        <w:t>Згідно з частиною першою статті 5 Закону у разі, якщо центральний орган виконавчої влади, що реалізує державну політику у сфері казначейського обслуговування бюджетних коштів, протягом трьох місяців не перерахувала кошти за рішенням суду про стягнення коштів, крім випадку, зазначеного в частині четвертій статті 4 Закону, стягувачу виплачується компенсація в розмірі трьох відсотків річних від несплаченої суми за рахунок коштів, передбачених за бюджетною програмою для забезпечення виконання рішень суду.</w:t>
      </w:r>
    </w:p>
    <w:p w:rsidR="006E581F" w:rsidRPr="006E581F" w:rsidRDefault="006E581F" w:rsidP="006E581F">
      <w:pPr>
        <w:spacing w:after="0" w:line="240" w:lineRule="auto"/>
        <w:ind w:firstLine="567"/>
        <w:jc w:val="both"/>
        <w:rPr>
          <w:rFonts w:ascii="Times New Roman" w:hAnsi="Times New Roman" w:cs="Times New Roman"/>
          <w:sz w:val="24"/>
          <w:szCs w:val="24"/>
          <w:lang w:eastAsia="ru-RU"/>
        </w:rPr>
      </w:pPr>
      <w:r w:rsidRPr="006E581F">
        <w:rPr>
          <w:rFonts w:ascii="Times New Roman" w:hAnsi="Times New Roman" w:cs="Times New Roman"/>
          <w:sz w:val="24"/>
          <w:szCs w:val="24"/>
          <w:lang w:eastAsia="ru-RU"/>
        </w:rPr>
        <w:t>Для виконання вищевказаних вимог Закону, в державному бюджеті передбачена бюджетна програма КПКВК 3504040 «Заходи щодо виконання рішень суду, що гарантовані державою», в рамках якої здійснюється виконання, зокрема судових рішень, боржниками за якими є державні підприємства.</w:t>
      </w:r>
    </w:p>
    <w:p w:rsidR="006E581F" w:rsidRPr="006E581F" w:rsidRDefault="006E581F" w:rsidP="006E581F">
      <w:pPr>
        <w:spacing w:after="120" w:line="240" w:lineRule="auto"/>
        <w:ind w:firstLine="567"/>
        <w:jc w:val="both"/>
        <w:rPr>
          <w:rFonts w:ascii="Times New Roman" w:hAnsi="Times New Roman" w:cs="Times New Roman"/>
          <w:sz w:val="24"/>
          <w:szCs w:val="24"/>
          <w:lang w:eastAsia="ru-RU"/>
        </w:rPr>
      </w:pPr>
      <w:r w:rsidRPr="006E581F">
        <w:rPr>
          <w:rFonts w:ascii="Times New Roman" w:hAnsi="Times New Roman" w:cs="Times New Roman"/>
          <w:sz w:val="24"/>
          <w:szCs w:val="24"/>
          <w:lang w:eastAsia="ru-RU"/>
        </w:rPr>
        <w:t>У 2020 році за вказаною бюджетною програмою було здійснено виплат за 89845 судовими рішеннями на суму близько 449,97 млн грн (99,9% річного плану), на 2021 рік передбачено у державному бюджеті 100 млн грн для виконання 19498 рішень суду. Разом з тим загальний обсяг коштів, які необхідні для погашення заборгованості за судовими рішеннями, є значно більшим та становить більше 6 млрд гривень.</w:t>
      </w:r>
    </w:p>
    <w:p w:rsidR="0017703B" w:rsidRDefault="0017703B" w:rsidP="00EC6710">
      <w:pPr>
        <w:spacing w:after="0" w:line="240" w:lineRule="auto"/>
        <w:jc w:val="both"/>
      </w:pPr>
      <w:r>
        <w:rPr>
          <w:noProof/>
          <w:lang w:eastAsia="uk-UA"/>
        </w:rPr>
        <w:drawing>
          <wp:inline distT="0" distB="0" distL="0" distR="0" wp14:anchorId="04C4A64B" wp14:editId="072C4AA4">
            <wp:extent cx="6102928" cy="2805546"/>
            <wp:effectExtent l="0" t="0" r="12700" b="13970"/>
            <wp:docPr id="8" name="Діагра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6E581F" w:rsidRPr="006E581F" w:rsidRDefault="006E581F" w:rsidP="006E581F">
      <w:pPr>
        <w:spacing w:after="120" w:line="240" w:lineRule="auto"/>
        <w:jc w:val="both"/>
        <w:rPr>
          <w:rFonts w:ascii="Times New Roman" w:hAnsi="Times New Roman" w:cs="Times New Roman"/>
          <w:i/>
          <w:sz w:val="24"/>
          <w:szCs w:val="24"/>
          <w:lang w:eastAsia="ru-RU"/>
        </w:rPr>
      </w:pPr>
      <w:r w:rsidRPr="006E581F">
        <w:rPr>
          <w:rFonts w:ascii="Times New Roman" w:hAnsi="Times New Roman" w:cs="Times New Roman"/>
          <w:i/>
          <w:sz w:val="24"/>
          <w:szCs w:val="24"/>
          <w:lang w:eastAsia="ru-RU"/>
        </w:rPr>
        <w:t>Джерело: Державна казначейська служба України.</w:t>
      </w:r>
    </w:p>
    <w:p w:rsidR="006E581F" w:rsidRPr="006E581F" w:rsidRDefault="006E581F" w:rsidP="006E581F">
      <w:pPr>
        <w:spacing w:after="0" w:line="240" w:lineRule="auto"/>
        <w:ind w:firstLine="567"/>
        <w:jc w:val="both"/>
        <w:rPr>
          <w:rFonts w:ascii="Times New Roman" w:hAnsi="Times New Roman" w:cs="Times New Roman"/>
          <w:sz w:val="24"/>
          <w:szCs w:val="24"/>
          <w:lang w:eastAsia="ru-RU"/>
        </w:rPr>
      </w:pPr>
      <w:r w:rsidRPr="006E581F">
        <w:rPr>
          <w:rFonts w:ascii="Times New Roman" w:hAnsi="Times New Roman" w:cs="Times New Roman"/>
          <w:sz w:val="24"/>
          <w:szCs w:val="24"/>
          <w:lang w:eastAsia="ru-RU"/>
        </w:rPr>
        <w:t>Так, за даними Державної казначейської служби, заборгованість, яка обліковується у Казначействі за судовими рішеннями, боржниками, за якими є державні підприємства, виконання яких здійснюється за рахунок коштів вищевказаної бюджетної програми, має тенденцію до зростання та станом на 27.08.2021 становить 4,1 млрд грн (за 2808 судовими рішеннями).</w:t>
      </w:r>
    </w:p>
    <w:p w:rsidR="006E581F" w:rsidRPr="006E581F" w:rsidRDefault="006E581F" w:rsidP="006E581F">
      <w:pPr>
        <w:spacing w:after="0" w:line="240" w:lineRule="auto"/>
        <w:ind w:firstLine="567"/>
        <w:jc w:val="both"/>
        <w:rPr>
          <w:rFonts w:ascii="Times New Roman" w:hAnsi="Times New Roman" w:cs="Times New Roman"/>
          <w:sz w:val="24"/>
          <w:szCs w:val="24"/>
          <w:lang w:eastAsia="ru-RU"/>
        </w:rPr>
      </w:pPr>
      <w:r w:rsidRPr="006E581F">
        <w:rPr>
          <w:rFonts w:ascii="Times New Roman" w:hAnsi="Times New Roman" w:cs="Times New Roman"/>
          <w:sz w:val="24"/>
          <w:szCs w:val="24"/>
          <w:lang w:eastAsia="ru-RU"/>
        </w:rPr>
        <w:t>Ураховуючи вказане, передбачена Законом можливість невиконання судових рішень державними підприємствами та перекладання відповідних виплат за судовими рішеннями на державний бюджет створює значні ризики для державного бюджету у 2022 році та середньостроковій перспективі.</w:t>
      </w:r>
    </w:p>
    <w:p w:rsidR="006E581F" w:rsidRPr="006E581F" w:rsidRDefault="006E581F" w:rsidP="006E581F">
      <w:pPr>
        <w:spacing w:after="0" w:line="240" w:lineRule="auto"/>
        <w:ind w:firstLine="567"/>
        <w:jc w:val="both"/>
        <w:rPr>
          <w:rFonts w:ascii="Times New Roman" w:hAnsi="Times New Roman" w:cs="Times New Roman"/>
          <w:sz w:val="24"/>
          <w:szCs w:val="24"/>
          <w:lang w:eastAsia="ru-RU"/>
        </w:rPr>
      </w:pPr>
      <w:r w:rsidRPr="006E581F">
        <w:rPr>
          <w:rFonts w:ascii="Times New Roman" w:hAnsi="Times New Roman" w:cs="Times New Roman"/>
          <w:sz w:val="24"/>
          <w:szCs w:val="24"/>
          <w:lang w:eastAsia="ru-RU"/>
        </w:rPr>
        <w:t>Розпорядженням Кабінету Міністрів України від 17.03.2021 № 210-р затверджений План заходів щодо реалізації Національної стратегії розв’язання проблеми невиконання рішень судів, боржниками за якими є державний орган або державне підприємство, установа, організація, на період до 2022 року, пунктом 9 якого передбачається:</w:t>
      </w:r>
    </w:p>
    <w:p w:rsidR="006E581F" w:rsidRPr="006E581F" w:rsidRDefault="006E581F" w:rsidP="006E581F">
      <w:pPr>
        <w:spacing w:after="0" w:line="240" w:lineRule="auto"/>
        <w:ind w:firstLine="567"/>
        <w:jc w:val="both"/>
        <w:rPr>
          <w:rFonts w:ascii="Times New Roman" w:hAnsi="Times New Roman" w:cs="Times New Roman"/>
          <w:sz w:val="24"/>
          <w:szCs w:val="24"/>
          <w:lang w:eastAsia="ru-RU"/>
        </w:rPr>
      </w:pPr>
      <w:r w:rsidRPr="006E581F">
        <w:rPr>
          <w:rFonts w:ascii="Times New Roman" w:hAnsi="Times New Roman" w:cs="Times New Roman"/>
          <w:sz w:val="24"/>
          <w:szCs w:val="24"/>
          <w:lang w:eastAsia="ru-RU"/>
        </w:rPr>
        <w:t>- проведення аудиту наявної за бюджетною програмою КПКВК 3504040 «Заходи щодо виконання рішень суду, що гарантовані державою» заборгованості за судовими рішеннями, боржниками за якими є державні підприємства;</w:t>
      </w:r>
    </w:p>
    <w:p w:rsidR="006E581F" w:rsidRPr="006E581F" w:rsidRDefault="006E581F" w:rsidP="006E581F">
      <w:pPr>
        <w:spacing w:after="0" w:line="240" w:lineRule="auto"/>
        <w:ind w:firstLine="567"/>
        <w:jc w:val="both"/>
        <w:rPr>
          <w:rFonts w:ascii="Times New Roman" w:hAnsi="Times New Roman" w:cs="Times New Roman"/>
          <w:sz w:val="24"/>
          <w:szCs w:val="24"/>
          <w:lang w:eastAsia="ru-RU"/>
        </w:rPr>
      </w:pPr>
      <w:r w:rsidRPr="006E581F">
        <w:rPr>
          <w:rFonts w:ascii="Times New Roman" w:hAnsi="Times New Roman" w:cs="Times New Roman"/>
          <w:sz w:val="24"/>
          <w:szCs w:val="24"/>
          <w:lang w:eastAsia="ru-RU"/>
        </w:rPr>
        <w:t>- проведення аналізу причин утворення заборгованості державних підприємств та розроблення пропозицій щодо створення ефективних механізмів запобігання утворенню такої заборгованості, а також підвищення відповідальності підприємств за наявності заборгованості;</w:t>
      </w:r>
    </w:p>
    <w:p w:rsidR="006E581F" w:rsidRPr="006E581F" w:rsidRDefault="006E581F" w:rsidP="006E581F">
      <w:pPr>
        <w:spacing w:after="0" w:line="240" w:lineRule="auto"/>
        <w:ind w:firstLine="567"/>
        <w:jc w:val="both"/>
        <w:rPr>
          <w:rFonts w:ascii="Times New Roman" w:hAnsi="Times New Roman" w:cs="Times New Roman"/>
          <w:sz w:val="24"/>
          <w:szCs w:val="24"/>
          <w:lang w:eastAsia="ru-RU"/>
        </w:rPr>
      </w:pPr>
      <w:r w:rsidRPr="006E581F">
        <w:rPr>
          <w:rFonts w:ascii="Times New Roman" w:hAnsi="Times New Roman" w:cs="Times New Roman"/>
          <w:sz w:val="24"/>
          <w:szCs w:val="24"/>
          <w:lang w:eastAsia="ru-RU"/>
        </w:rPr>
        <w:t>- на підставі проведеного дослідження розроблення законопроекту про внесення змін до відповідних актів.</w:t>
      </w:r>
    </w:p>
    <w:p w:rsidR="0017703B" w:rsidRPr="00EC6710" w:rsidRDefault="0017703B" w:rsidP="00EC6710">
      <w:pPr>
        <w:spacing w:before="240" w:after="120" w:line="240" w:lineRule="auto"/>
        <w:ind w:firstLine="567"/>
        <w:jc w:val="both"/>
        <w:rPr>
          <w:rFonts w:ascii="Times New Roman" w:hAnsi="Times New Roman" w:cs="Times New Roman"/>
          <w:b/>
          <w:color w:val="000000" w:themeColor="text1"/>
          <w:sz w:val="24"/>
          <w:szCs w:val="24"/>
          <w:lang w:eastAsia="ru-RU"/>
        </w:rPr>
      </w:pPr>
      <w:r w:rsidRPr="00EC6710">
        <w:rPr>
          <w:rFonts w:ascii="Times New Roman" w:hAnsi="Times New Roman" w:cs="Times New Roman"/>
          <w:b/>
          <w:color w:val="000000" w:themeColor="text1"/>
          <w:sz w:val="24"/>
          <w:szCs w:val="24"/>
          <w:lang w:eastAsia="ru-RU"/>
        </w:rPr>
        <w:t>2</w:t>
      </w:r>
      <w:r w:rsidR="00AE4197">
        <w:rPr>
          <w:rFonts w:ascii="Times New Roman" w:hAnsi="Times New Roman" w:cs="Times New Roman"/>
          <w:b/>
          <w:color w:val="000000" w:themeColor="text1"/>
          <w:sz w:val="24"/>
          <w:szCs w:val="24"/>
          <w:lang w:eastAsia="ru-RU"/>
        </w:rPr>
        <w:t>.</w:t>
      </w:r>
      <w:r w:rsidRPr="00EC6710">
        <w:rPr>
          <w:rFonts w:ascii="Times New Roman" w:hAnsi="Times New Roman" w:cs="Times New Roman"/>
          <w:b/>
          <w:color w:val="000000" w:themeColor="text1"/>
          <w:sz w:val="24"/>
          <w:szCs w:val="24"/>
          <w:lang w:eastAsia="ru-RU"/>
        </w:rPr>
        <w:t xml:space="preserve"> Фінансовий аналіз діяльності суб’єктів господарювання, включених до Переліку, з урахуванням чинників, які можуть вплинути на їх діяльність у середньостроковій перспективі</w:t>
      </w:r>
    </w:p>
    <w:p w:rsidR="0017703B" w:rsidRPr="00EC6710" w:rsidRDefault="0017703B" w:rsidP="00EC6710">
      <w:pPr>
        <w:spacing w:after="0" w:line="240" w:lineRule="auto"/>
        <w:ind w:firstLine="567"/>
        <w:jc w:val="both"/>
        <w:rPr>
          <w:rFonts w:ascii="Times New Roman" w:hAnsi="Times New Roman" w:cs="Times New Roman"/>
          <w:color w:val="000000" w:themeColor="text1"/>
          <w:sz w:val="24"/>
          <w:szCs w:val="24"/>
          <w:lang w:eastAsia="ru-RU"/>
        </w:rPr>
      </w:pPr>
      <w:r w:rsidRPr="00EC6710">
        <w:rPr>
          <w:rFonts w:ascii="Times New Roman" w:hAnsi="Times New Roman" w:cs="Times New Roman"/>
          <w:color w:val="000000" w:themeColor="text1"/>
          <w:sz w:val="24"/>
          <w:szCs w:val="24"/>
          <w:lang w:eastAsia="ru-RU"/>
        </w:rPr>
        <w:t>У цьому розділі міститься інформація щодо оцінки діяльності НАК «Нафтогаз України», АТ «Укрзалізниця», НЕК «Укренерго» та ДП «НАЕК «Енергоатом» шляхом моделювання за двома сценаріями (базовим та песимістичним) з урахуванням впливу окремих чинників (зокрема змін ВВП, валютного курсу, індексу споживчих цін, індексу цін виробників) з метою визначення можливого впливу такої діяльності на показники державного бюджету у середньостроковій перспективі.</w:t>
      </w:r>
    </w:p>
    <w:p w:rsidR="0017703B" w:rsidRPr="00EC6710" w:rsidRDefault="0017703B" w:rsidP="00EC6710">
      <w:pPr>
        <w:spacing w:after="0" w:line="240" w:lineRule="auto"/>
        <w:ind w:firstLine="567"/>
        <w:jc w:val="both"/>
        <w:rPr>
          <w:rFonts w:ascii="Times New Roman" w:hAnsi="Times New Roman" w:cs="Times New Roman"/>
          <w:color w:val="000000" w:themeColor="text1"/>
          <w:sz w:val="24"/>
          <w:szCs w:val="24"/>
          <w:lang w:eastAsia="ru-RU"/>
        </w:rPr>
      </w:pPr>
      <w:r w:rsidRPr="00EC6710">
        <w:rPr>
          <w:rFonts w:ascii="Times New Roman" w:hAnsi="Times New Roman" w:cs="Times New Roman"/>
          <w:color w:val="000000" w:themeColor="text1"/>
          <w:sz w:val="24"/>
          <w:szCs w:val="24"/>
          <w:lang w:eastAsia="ru-RU"/>
        </w:rPr>
        <w:t>Метою моделювання очікуваних результатів діяльності великих державних компаній за базовим та песимістичним сценаріями є забезпечення фінансової оцінки деяких фіскальних ризиків, з якими може стикнутися Уряд з боку таких компаній протягом наступних трьох років. Ключовим питанням такого аналізу є фінансові результати державних компаній в умовах негативних макроекономічних шоків.</w:t>
      </w:r>
    </w:p>
    <w:p w:rsidR="0017703B" w:rsidRPr="00EC6710" w:rsidRDefault="0017703B" w:rsidP="00EC6710">
      <w:pPr>
        <w:spacing w:after="0" w:line="240" w:lineRule="auto"/>
        <w:ind w:firstLine="567"/>
        <w:jc w:val="both"/>
        <w:rPr>
          <w:rFonts w:ascii="Times New Roman" w:hAnsi="Times New Roman" w:cs="Times New Roman"/>
          <w:color w:val="000000" w:themeColor="text1"/>
          <w:sz w:val="24"/>
          <w:szCs w:val="24"/>
          <w:lang w:eastAsia="ru-RU"/>
        </w:rPr>
      </w:pPr>
      <w:r w:rsidRPr="00EC6710">
        <w:rPr>
          <w:rFonts w:ascii="Times New Roman" w:hAnsi="Times New Roman" w:cs="Times New Roman"/>
          <w:color w:val="000000" w:themeColor="text1"/>
          <w:sz w:val="24"/>
          <w:szCs w:val="24"/>
          <w:lang w:eastAsia="ru-RU"/>
        </w:rPr>
        <w:t xml:space="preserve">Моделювання за базовим та песимістичним сценаріями можливого розвитку подій ґрунтується на прогнозах (очікуваннях) менеджменту державних компаній щодо обсягів та цін реалізації продукції (товарів, робіт, послуг) у 2021 – 2024 роках; основних прогнозних </w:t>
      </w:r>
      <w:proofErr w:type="spellStart"/>
      <w:r w:rsidRPr="00EC6710">
        <w:rPr>
          <w:rFonts w:ascii="Times New Roman" w:hAnsi="Times New Roman" w:cs="Times New Roman"/>
          <w:color w:val="000000" w:themeColor="text1"/>
          <w:sz w:val="24"/>
          <w:szCs w:val="24"/>
          <w:lang w:eastAsia="ru-RU"/>
        </w:rPr>
        <w:t>макропоказниках</w:t>
      </w:r>
      <w:proofErr w:type="spellEnd"/>
      <w:r w:rsidRPr="00EC6710">
        <w:rPr>
          <w:rFonts w:ascii="Times New Roman" w:hAnsi="Times New Roman" w:cs="Times New Roman"/>
          <w:color w:val="000000" w:themeColor="text1"/>
          <w:sz w:val="24"/>
          <w:szCs w:val="24"/>
          <w:lang w:eastAsia="ru-RU"/>
        </w:rPr>
        <w:t xml:space="preserve"> економічного і соціального розвитку України на 2022 – 2024 роки, схвалених постановою Кабінету Міністрів України від 31.05.2021 № 586; нормативах відраховування до державного бюджету відповідних платежів.</w:t>
      </w:r>
    </w:p>
    <w:p w:rsidR="0017703B" w:rsidRPr="00EC6710" w:rsidRDefault="0017703B" w:rsidP="00EC6710">
      <w:pPr>
        <w:shd w:val="clear" w:color="auto" w:fill="FFFFFF" w:themeFill="background1"/>
        <w:spacing w:after="0" w:line="240" w:lineRule="auto"/>
        <w:ind w:firstLine="567"/>
        <w:jc w:val="both"/>
        <w:rPr>
          <w:rFonts w:ascii="Times New Roman" w:hAnsi="Times New Roman" w:cs="Times New Roman"/>
          <w:color w:val="000000" w:themeColor="text1"/>
          <w:sz w:val="24"/>
          <w:szCs w:val="24"/>
          <w:lang w:eastAsia="ru-RU"/>
        </w:rPr>
      </w:pPr>
      <w:r w:rsidRPr="00EC6710">
        <w:rPr>
          <w:rFonts w:ascii="Times New Roman" w:hAnsi="Times New Roman" w:cs="Times New Roman"/>
          <w:color w:val="000000" w:themeColor="text1"/>
          <w:sz w:val="24"/>
          <w:szCs w:val="24"/>
          <w:lang w:eastAsia="ru-RU"/>
        </w:rPr>
        <w:t>Аналіз діяльності державних компаній проведено на основі перевіреної аудиторами фінансової звітності, фінансових планів та інформації, що була надана такими компаніями.</w:t>
      </w:r>
    </w:p>
    <w:p w:rsidR="0017703B" w:rsidRPr="00EC6710" w:rsidRDefault="0017703B" w:rsidP="00EC6710">
      <w:pPr>
        <w:shd w:val="clear" w:color="auto" w:fill="FFFFFF" w:themeFill="background1"/>
        <w:spacing w:after="0" w:line="240" w:lineRule="auto"/>
        <w:ind w:firstLine="567"/>
        <w:jc w:val="both"/>
        <w:rPr>
          <w:rFonts w:ascii="Times New Roman" w:hAnsi="Times New Roman" w:cs="Times New Roman"/>
          <w:color w:val="000000" w:themeColor="text1"/>
          <w:sz w:val="24"/>
          <w:szCs w:val="24"/>
          <w:lang w:eastAsia="ru-RU"/>
        </w:rPr>
      </w:pPr>
      <w:r w:rsidRPr="00EC6710">
        <w:rPr>
          <w:rFonts w:ascii="Times New Roman" w:hAnsi="Times New Roman" w:cs="Times New Roman"/>
          <w:color w:val="000000" w:themeColor="text1"/>
          <w:sz w:val="24"/>
          <w:szCs w:val="24"/>
          <w:lang w:eastAsia="ru-RU"/>
        </w:rPr>
        <w:t>Оцінка ризиків у результаті аналізу відображає можливий тренд фінансових прогнозів за умов реалізації різних сценаріїв та може відхилятись від фактичної ситуації внаслідок впливу не врахованих у сценаріях подій.</w:t>
      </w:r>
    </w:p>
    <w:p w:rsidR="0017703B" w:rsidRPr="00E32097" w:rsidRDefault="0017703B" w:rsidP="00C76015">
      <w:pPr>
        <w:shd w:val="clear" w:color="auto" w:fill="FFFFFF" w:themeFill="background1"/>
        <w:spacing w:before="120" w:after="120" w:line="240" w:lineRule="auto"/>
        <w:jc w:val="center"/>
        <w:rPr>
          <w:rFonts w:ascii="Times New Roman" w:hAnsi="Times New Roman" w:cs="Times New Roman"/>
          <w:b/>
          <w:i/>
          <w:color w:val="000000" w:themeColor="text1"/>
          <w:sz w:val="24"/>
          <w:szCs w:val="24"/>
          <w:lang w:eastAsia="ru-RU"/>
        </w:rPr>
      </w:pPr>
      <w:r w:rsidRPr="00E32097">
        <w:rPr>
          <w:rFonts w:ascii="Times New Roman" w:hAnsi="Times New Roman" w:cs="Times New Roman"/>
          <w:b/>
          <w:i/>
          <w:color w:val="000000" w:themeColor="text1"/>
          <w:sz w:val="24"/>
          <w:szCs w:val="24"/>
          <w:lang w:eastAsia="ru-RU"/>
        </w:rPr>
        <w:t>НАК «Нафтогаз України»</w:t>
      </w:r>
    </w:p>
    <w:p w:rsidR="0017703B" w:rsidRPr="00D5303F" w:rsidRDefault="0017703B" w:rsidP="00D5303F">
      <w:pPr>
        <w:shd w:val="clear" w:color="auto" w:fill="FFFFFF" w:themeFill="background1"/>
        <w:spacing w:after="0" w:line="240" w:lineRule="auto"/>
        <w:ind w:firstLine="567"/>
        <w:jc w:val="both"/>
        <w:rPr>
          <w:rFonts w:ascii="Times New Roman" w:hAnsi="Times New Roman" w:cs="Times New Roman"/>
          <w:color w:val="000000" w:themeColor="text1"/>
          <w:sz w:val="24"/>
          <w:szCs w:val="24"/>
          <w:lang w:eastAsia="ru-RU"/>
        </w:rPr>
      </w:pPr>
      <w:r w:rsidRPr="00D5303F">
        <w:rPr>
          <w:rFonts w:ascii="Times New Roman" w:hAnsi="Times New Roman" w:cs="Times New Roman"/>
          <w:color w:val="000000" w:themeColor="text1"/>
          <w:sz w:val="24"/>
          <w:szCs w:val="24"/>
          <w:lang w:eastAsia="ru-RU"/>
        </w:rPr>
        <w:t>Моделювання діяльності НАК «Нафтогаз України» (далі – Компанія) здійснювалось на підставі інформації Компанії щодо прогнозів на 2021 – 2024 роки.</w:t>
      </w:r>
    </w:p>
    <w:p w:rsidR="0017703B" w:rsidRPr="00D5303F" w:rsidRDefault="0017703B" w:rsidP="00D5303F">
      <w:pPr>
        <w:shd w:val="clear" w:color="auto" w:fill="FFFFFF" w:themeFill="background1"/>
        <w:spacing w:after="0" w:line="240" w:lineRule="auto"/>
        <w:ind w:firstLine="567"/>
        <w:jc w:val="both"/>
        <w:rPr>
          <w:rFonts w:ascii="Times New Roman" w:hAnsi="Times New Roman" w:cs="Times New Roman"/>
          <w:color w:val="000000" w:themeColor="text1"/>
          <w:sz w:val="24"/>
          <w:szCs w:val="24"/>
          <w:lang w:eastAsia="ru-RU"/>
        </w:rPr>
      </w:pPr>
      <w:r w:rsidRPr="00D5303F">
        <w:rPr>
          <w:rFonts w:ascii="Times New Roman" w:hAnsi="Times New Roman" w:cs="Times New Roman"/>
          <w:color w:val="000000" w:themeColor="text1"/>
          <w:sz w:val="24"/>
          <w:szCs w:val="24"/>
          <w:lang w:eastAsia="ru-RU"/>
        </w:rPr>
        <w:t>При цьому Компанія повідомила, що надана Мінфіну інформація відповідає показникам фінансового плану Компанії на 2021 рік, який частково втратив актуальність та потребує перегляду з урахуванням змін на ринку природного газу та оновленої корпоративної стратегії.</w:t>
      </w:r>
    </w:p>
    <w:p w:rsidR="0017703B" w:rsidRPr="00D5303F" w:rsidRDefault="0017703B" w:rsidP="00D5303F">
      <w:pPr>
        <w:shd w:val="clear" w:color="auto" w:fill="FFFFFF" w:themeFill="background1"/>
        <w:spacing w:after="0" w:line="240" w:lineRule="auto"/>
        <w:ind w:firstLine="567"/>
        <w:jc w:val="both"/>
        <w:rPr>
          <w:rFonts w:ascii="Times New Roman" w:hAnsi="Times New Roman" w:cs="Times New Roman"/>
          <w:color w:val="000000" w:themeColor="text1"/>
          <w:sz w:val="24"/>
          <w:szCs w:val="24"/>
          <w:lang w:eastAsia="ru-RU"/>
        </w:rPr>
      </w:pPr>
      <w:r w:rsidRPr="00D5303F">
        <w:rPr>
          <w:rFonts w:ascii="Times New Roman" w:hAnsi="Times New Roman" w:cs="Times New Roman"/>
          <w:color w:val="000000" w:themeColor="text1"/>
          <w:sz w:val="24"/>
          <w:szCs w:val="24"/>
          <w:lang w:eastAsia="ru-RU"/>
        </w:rPr>
        <w:t xml:space="preserve">Також було повідомлено, що після зміни у 2021 році голови правління </w:t>
      </w:r>
      <w:r w:rsidRPr="00D5303F">
        <w:rPr>
          <w:rFonts w:ascii="Times New Roman" w:hAnsi="Times New Roman" w:cs="Times New Roman"/>
          <w:color w:val="000000" w:themeColor="text1"/>
          <w:sz w:val="24"/>
          <w:szCs w:val="24"/>
          <w:lang w:eastAsia="ru-RU"/>
        </w:rPr>
        <w:br/>
        <w:t>НАК «Нафтогаз України» розпочата робота з перегляду корпоративної стратегії, операційної моделі та результатів діяльності Групи Нафтогаз. У підсумку має бути сформовано узгоджену позицію щодо рекомендацій та необхідності внесення змін до корпоративної стратегії, операційної моделі та трансформації. Відповідно до узгодженої позиції будуть розроблені пропозиції щодо оновлення фінансового плану Компанії на 2021 рік.</w:t>
      </w:r>
    </w:p>
    <w:p w:rsidR="0017703B" w:rsidRPr="00D5303F" w:rsidRDefault="0017703B" w:rsidP="00D5303F">
      <w:pPr>
        <w:shd w:val="clear" w:color="auto" w:fill="FFFFFF" w:themeFill="background1"/>
        <w:spacing w:after="0" w:line="240" w:lineRule="auto"/>
        <w:ind w:firstLine="567"/>
        <w:jc w:val="both"/>
        <w:rPr>
          <w:rFonts w:ascii="Times New Roman" w:hAnsi="Times New Roman" w:cs="Times New Roman"/>
          <w:color w:val="000000" w:themeColor="text1"/>
          <w:sz w:val="24"/>
          <w:szCs w:val="24"/>
          <w:lang w:eastAsia="ru-RU"/>
        </w:rPr>
      </w:pPr>
      <w:r w:rsidRPr="00D5303F">
        <w:rPr>
          <w:rFonts w:ascii="Times New Roman" w:hAnsi="Times New Roman" w:cs="Times New Roman"/>
          <w:color w:val="000000" w:themeColor="text1"/>
          <w:sz w:val="24"/>
          <w:szCs w:val="24"/>
          <w:lang w:eastAsia="ru-RU"/>
        </w:rPr>
        <w:t>На момент надання інформації Мінфіну узгодженої позиції в Компанії не досягнуто. Після оновлення корпоративної стратегії та внесення у встановленому порядку змін до фінансового плану Компанії на 2021 рік інформація, що була надана Мінфіну, буде уточнена.</w:t>
      </w:r>
    </w:p>
    <w:p w:rsidR="0017703B" w:rsidRPr="00C76015" w:rsidRDefault="0017703B" w:rsidP="00D5303F">
      <w:pPr>
        <w:shd w:val="clear" w:color="auto" w:fill="FFFFFF" w:themeFill="background1"/>
        <w:spacing w:before="120" w:after="120" w:line="240" w:lineRule="auto"/>
        <w:ind w:firstLine="567"/>
        <w:jc w:val="center"/>
        <w:rPr>
          <w:rFonts w:ascii="Times New Roman" w:hAnsi="Times New Roman" w:cs="Times New Roman"/>
          <w:b/>
          <w:i/>
          <w:color w:val="000000" w:themeColor="text1"/>
          <w:szCs w:val="24"/>
          <w:lang w:eastAsia="ru-RU"/>
        </w:rPr>
      </w:pPr>
      <w:r w:rsidRPr="00C76015">
        <w:rPr>
          <w:rFonts w:ascii="Times New Roman" w:hAnsi="Times New Roman" w:cs="Times New Roman"/>
          <w:b/>
          <w:i/>
          <w:color w:val="000000" w:themeColor="text1"/>
          <w:szCs w:val="24"/>
          <w:lang w:eastAsia="ru-RU"/>
        </w:rPr>
        <w:t>Основні припущення для базового та песимістичного сценаріїв</w:t>
      </w:r>
    </w:p>
    <w:tbl>
      <w:tblPr>
        <w:tblStyle w:val="a3"/>
        <w:tblW w:w="0" w:type="auto"/>
        <w:tblLook w:val="04A0" w:firstRow="1" w:lastRow="0" w:firstColumn="1" w:lastColumn="0" w:noHBand="0" w:noVBand="1"/>
      </w:tblPr>
      <w:tblGrid>
        <w:gridCol w:w="4955"/>
        <w:gridCol w:w="4956"/>
      </w:tblGrid>
      <w:tr w:rsidR="0017703B" w:rsidRPr="00990327" w:rsidTr="00C4052A">
        <w:tc>
          <w:tcPr>
            <w:tcW w:w="4956" w:type="dxa"/>
            <w:shd w:val="clear" w:color="auto" w:fill="FFC000"/>
          </w:tcPr>
          <w:p w:rsidR="0017703B" w:rsidRPr="00C76015" w:rsidRDefault="0017703B" w:rsidP="00C4052A">
            <w:pPr>
              <w:jc w:val="center"/>
              <w:rPr>
                <w:rFonts w:ascii="Times New Roman" w:eastAsia="Times New Roman" w:hAnsi="Times New Roman" w:cs="Times New Roman"/>
                <w:b/>
                <w:i/>
                <w:sz w:val="20"/>
                <w:szCs w:val="24"/>
                <w:lang w:eastAsia="uk-UA"/>
              </w:rPr>
            </w:pPr>
            <w:r w:rsidRPr="00C76015">
              <w:rPr>
                <w:rFonts w:ascii="Times New Roman" w:eastAsia="Times New Roman" w:hAnsi="Times New Roman" w:cs="Times New Roman"/>
                <w:b/>
                <w:i/>
                <w:sz w:val="20"/>
                <w:szCs w:val="24"/>
                <w:lang w:eastAsia="uk-UA"/>
              </w:rPr>
              <w:t>Базовий</w:t>
            </w:r>
          </w:p>
        </w:tc>
        <w:tc>
          <w:tcPr>
            <w:tcW w:w="4956" w:type="dxa"/>
            <w:shd w:val="clear" w:color="auto" w:fill="BFBFBF" w:themeFill="background1" w:themeFillShade="BF"/>
          </w:tcPr>
          <w:p w:rsidR="0017703B" w:rsidRPr="00C76015" w:rsidRDefault="0017703B" w:rsidP="00C4052A">
            <w:pPr>
              <w:jc w:val="center"/>
              <w:rPr>
                <w:rFonts w:ascii="Times New Roman" w:eastAsia="Times New Roman" w:hAnsi="Times New Roman" w:cs="Times New Roman"/>
                <w:b/>
                <w:i/>
                <w:sz w:val="20"/>
                <w:szCs w:val="24"/>
                <w:lang w:eastAsia="uk-UA"/>
              </w:rPr>
            </w:pPr>
            <w:r w:rsidRPr="00C76015">
              <w:rPr>
                <w:rFonts w:ascii="Times New Roman" w:eastAsia="Times New Roman" w:hAnsi="Times New Roman" w:cs="Times New Roman"/>
                <w:b/>
                <w:i/>
                <w:sz w:val="20"/>
                <w:szCs w:val="24"/>
                <w:lang w:eastAsia="uk-UA"/>
              </w:rPr>
              <w:t>Песимістичний</w:t>
            </w:r>
          </w:p>
        </w:tc>
      </w:tr>
      <w:tr w:rsidR="0017703B" w:rsidRPr="008A708F" w:rsidTr="00C4052A">
        <w:tc>
          <w:tcPr>
            <w:tcW w:w="4956" w:type="dxa"/>
          </w:tcPr>
          <w:p w:rsidR="0017703B" w:rsidRPr="00C76015" w:rsidRDefault="0017703B" w:rsidP="00C76015">
            <w:pPr>
              <w:jc w:val="both"/>
              <w:rPr>
                <w:rFonts w:ascii="Times New Roman" w:eastAsia="Times New Roman" w:hAnsi="Times New Roman" w:cs="Times New Roman"/>
                <w:sz w:val="20"/>
                <w:szCs w:val="24"/>
                <w:lang w:eastAsia="uk-UA"/>
              </w:rPr>
            </w:pPr>
            <w:r w:rsidRPr="00C76015">
              <w:rPr>
                <w:rFonts w:ascii="Times New Roman" w:eastAsia="Times New Roman" w:hAnsi="Times New Roman" w:cs="Times New Roman"/>
                <w:sz w:val="20"/>
                <w:szCs w:val="24"/>
                <w:lang w:eastAsia="uk-UA"/>
              </w:rPr>
              <w:t>Прогноз щодо обсягів, цін закупівлі та реалізації продукції в 2021 – 2024 роках враховано відповідно до очікувань Компанії.</w:t>
            </w:r>
          </w:p>
        </w:tc>
        <w:tc>
          <w:tcPr>
            <w:tcW w:w="4956" w:type="dxa"/>
          </w:tcPr>
          <w:p w:rsidR="0017703B" w:rsidRPr="00C76015" w:rsidRDefault="0017703B" w:rsidP="00C76015">
            <w:pPr>
              <w:jc w:val="both"/>
              <w:rPr>
                <w:rFonts w:ascii="Times New Roman" w:eastAsia="Times New Roman" w:hAnsi="Times New Roman" w:cs="Times New Roman"/>
                <w:sz w:val="20"/>
                <w:szCs w:val="24"/>
                <w:lang w:eastAsia="uk-UA"/>
              </w:rPr>
            </w:pPr>
            <w:r w:rsidRPr="00C76015">
              <w:rPr>
                <w:rFonts w:ascii="Times New Roman" w:eastAsia="Times New Roman" w:hAnsi="Times New Roman" w:cs="Times New Roman"/>
                <w:sz w:val="20"/>
                <w:szCs w:val="24"/>
                <w:lang w:eastAsia="uk-UA"/>
              </w:rPr>
              <w:t>Прогноз щодо обсягів, цін закупівлі та реалізації продукції в 2021 – 2024 роках враховано відповідно до очікувань Компанії.</w:t>
            </w:r>
          </w:p>
        </w:tc>
      </w:tr>
      <w:tr w:rsidR="0017703B" w:rsidRPr="008A708F" w:rsidTr="00C4052A">
        <w:tc>
          <w:tcPr>
            <w:tcW w:w="4956" w:type="dxa"/>
          </w:tcPr>
          <w:p w:rsidR="0017703B" w:rsidRPr="00C76015" w:rsidRDefault="0017703B" w:rsidP="00C76015">
            <w:pPr>
              <w:jc w:val="both"/>
              <w:rPr>
                <w:rFonts w:ascii="Times New Roman" w:eastAsia="Times New Roman" w:hAnsi="Times New Roman" w:cs="Times New Roman"/>
                <w:sz w:val="20"/>
                <w:szCs w:val="24"/>
                <w:lang w:eastAsia="uk-UA"/>
              </w:rPr>
            </w:pPr>
            <w:r w:rsidRPr="00C76015">
              <w:rPr>
                <w:rFonts w:ascii="Times New Roman" w:eastAsia="Times New Roman" w:hAnsi="Times New Roman" w:cs="Times New Roman"/>
                <w:sz w:val="20"/>
                <w:szCs w:val="24"/>
                <w:lang w:eastAsia="uk-UA"/>
              </w:rPr>
              <w:t>Доходи від транзиту – відповідно до 5-річного контракту з Газпромом та видатки – відповідно до контракту з оператором транспортної системи (ОТС).</w:t>
            </w:r>
          </w:p>
        </w:tc>
        <w:tc>
          <w:tcPr>
            <w:tcW w:w="4956" w:type="dxa"/>
          </w:tcPr>
          <w:p w:rsidR="0017703B" w:rsidRPr="00C76015" w:rsidRDefault="0017703B" w:rsidP="00C76015">
            <w:pPr>
              <w:jc w:val="both"/>
              <w:rPr>
                <w:rFonts w:ascii="Times New Roman" w:eastAsia="Times New Roman" w:hAnsi="Times New Roman" w:cs="Times New Roman"/>
                <w:sz w:val="20"/>
                <w:szCs w:val="24"/>
                <w:lang w:eastAsia="uk-UA"/>
              </w:rPr>
            </w:pPr>
            <w:r w:rsidRPr="00C76015">
              <w:rPr>
                <w:rFonts w:ascii="Times New Roman" w:eastAsia="Times New Roman" w:hAnsi="Times New Roman" w:cs="Times New Roman"/>
                <w:sz w:val="20"/>
                <w:szCs w:val="24"/>
                <w:lang w:eastAsia="uk-UA"/>
              </w:rPr>
              <w:t>Доходи від транзиту – відповідно до 5-річного контракту з Газпромом та видатки – відповідно до контракту з оператором транспортної системи (ОТС).</w:t>
            </w:r>
          </w:p>
        </w:tc>
      </w:tr>
      <w:tr w:rsidR="0017703B" w:rsidRPr="008A708F" w:rsidTr="00C4052A">
        <w:tc>
          <w:tcPr>
            <w:tcW w:w="4956" w:type="dxa"/>
          </w:tcPr>
          <w:p w:rsidR="0017703B" w:rsidRPr="00C76015" w:rsidRDefault="0017703B" w:rsidP="00C76015">
            <w:pPr>
              <w:jc w:val="both"/>
              <w:rPr>
                <w:rFonts w:ascii="Times New Roman" w:eastAsia="Times New Roman" w:hAnsi="Times New Roman" w:cs="Times New Roman"/>
                <w:sz w:val="20"/>
                <w:szCs w:val="24"/>
                <w:lang w:eastAsia="uk-UA"/>
              </w:rPr>
            </w:pPr>
            <w:r w:rsidRPr="00C76015">
              <w:rPr>
                <w:rFonts w:ascii="Times New Roman" w:eastAsia="Times New Roman" w:hAnsi="Times New Roman" w:cs="Times New Roman"/>
                <w:sz w:val="20"/>
                <w:szCs w:val="24"/>
                <w:lang w:eastAsia="uk-UA"/>
              </w:rPr>
              <w:t>Зростання операційних витрат Компанії враховано на рівні зростання індексів споживчих цін та цін виробників, відповідно до прогнозу, схваленого постановою Кабінету Міністрів України від 31.05.2021 № 586.</w:t>
            </w:r>
          </w:p>
        </w:tc>
        <w:tc>
          <w:tcPr>
            <w:tcW w:w="4956" w:type="dxa"/>
          </w:tcPr>
          <w:p w:rsidR="0017703B" w:rsidRPr="00C76015" w:rsidRDefault="0017703B" w:rsidP="00C76015">
            <w:pPr>
              <w:jc w:val="both"/>
              <w:rPr>
                <w:rFonts w:ascii="Times New Roman" w:eastAsia="Times New Roman" w:hAnsi="Times New Roman" w:cs="Times New Roman"/>
                <w:sz w:val="20"/>
                <w:szCs w:val="24"/>
                <w:lang w:eastAsia="uk-UA"/>
              </w:rPr>
            </w:pPr>
            <w:r w:rsidRPr="00C76015">
              <w:rPr>
                <w:rFonts w:ascii="Times New Roman" w:eastAsia="Times New Roman" w:hAnsi="Times New Roman" w:cs="Times New Roman"/>
                <w:sz w:val="20"/>
                <w:szCs w:val="24"/>
                <w:lang w:eastAsia="uk-UA"/>
              </w:rPr>
              <w:t xml:space="preserve">Очікування щодо зростання споживчих цін та цін виробників враховано відповідно до альтернативного сценарію розвитку прогнозу, схваленого постановою Кабінету Міністрів України від 31.05.2021 № 586. </w:t>
            </w:r>
          </w:p>
        </w:tc>
      </w:tr>
      <w:tr w:rsidR="0017703B" w:rsidRPr="008A708F" w:rsidTr="00C4052A">
        <w:tc>
          <w:tcPr>
            <w:tcW w:w="4956" w:type="dxa"/>
          </w:tcPr>
          <w:p w:rsidR="0017703B" w:rsidRPr="00C76015" w:rsidRDefault="0017703B" w:rsidP="00C76015">
            <w:pPr>
              <w:jc w:val="both"/>
              <w:rPr>
                <w:rFonts w:ascii="Times New Roman" w:eastAsia="Times New Roman" w:hAnsi="Times New Roman" w:cs="Times New Roman"/>
                <w:sz w:val="20"/>
                <w:szCs w:val="24"/>
                <w:lang w:eastAsia="uk-UA"/>
              </w:rPr>
            </w:pPr>
            <w:r w:rsidRPr="00C76015">
              <w:rPr>
                <w:rFonts w:ascii="Times New Roman" w:eastAsia="Times New Roman" w:hAnsi="Times New Roman" w:cs="Times New Roman"/>
                <w:sz w:val="20"/>
                <w:szCs w:val="24"/>
                <w:lang w:eastAsia="uk-UA"/>
              </w:rPr>
              <w:t>Очікування щодо зміни валютного курсу враховано відповідно до прогнозу, схваленого постановою Кабінету Міністрів України від 31.05.2021 № 586.</w:t>
            </w:r>
          </w:p>
        </w:tc>
        <w:tc>
          <w:tcPr>
            <w:tcW w:w="4956" w:type="dxa"/>
          </w:tcPr>
          <w:p w:rsidR="0017703B" w:rsidRPr="00C76015" w:rsidRDefault="0017703B" w:rsidP="00C76015">
            <w:pPr>
              <w:jc w:val="both"/>
              <w:rPr>
                <w:rFonts w:ascii="Times New Roman" w:eastAsia="Times New Roman" w:hAnsi="Times New Roman" w:cs="Times New Roman"/>
                <w:sz w:val="20"/>
                <w:szCs w:val="24"/>
                <w:lang w:eastAsia="uk-UA"/>
              </w:rPr>
            </w:pPr>
            <w:r w:rsidRPr="00C76015">
              <w:rPr>
                <w:rFonts w:ascii="Times New Roman" w:eastAsia="Times New Roman" w:hAnsi="Times New Roman" w:cs="Times New Roman"/>
                <w:sz w:val="20"/>
                <w:szCs w:val="24"/>
                <w:lang w:eastAsia="uk-UA"/>
              </w:rPr>
              <w:t>Враховано припущення щодо зміни валютного курсу на рівні +5% щороку порівняно із базовим сценарієм.</w:t>
            </w:r>
          </w:p>
        </w:tc>
      </w:tr>
      <w:tr w:rsidR="0017703B" w:rsidRPr="008A708F" w:rsidTr="00C4052A">
        <w:tc>
          <w:tcPr>
            <w:tcW w:w="4956" w:type="dxa"/>
          </w:tcPr>
          <w:p w:rsidR="0017703B" w:rsidRPr="00C76015" w:rsidRDefault="0017703B" w:rsidP="00C76015">
            <w:pPr>
              <w:jc w:val="both"/>
              <w:rPr>
                <w:rFonts w:ascii="Times New Roman" w:eastAsia="Times New Roman" w:hAnsi="Times New Roman" w:cs="Times New Roman"/>
                <w:sz w:val="20"/>
                <w:szCs w:val="24"/>
                <w:lang w:eastAsia="uk-UA"/>
              </w:rPr>
            </w:pPr>
            <w:r w:rsidRPr="00C76015">
              <w:rPr>
                <w:rFonts w:ascii="Times New Roman" w:eastAsia="Times New Roman" w:hAnsi="Times New Roman" w:cs="Times New Roman"/>
                <w:sz w:val="20"/>
                <w:szCs w:val="24"/>
                <w:lang w:eastAsia="uk-UA"/>
              </w:rPr>
              <w:t>Очікування щодо отримання Компанією доходів від участі в капіталі підприємств Групи «Нафтогаз» в 2021 – 2024 роках враховано на рівні показників фінансового плану НАК «Нафтогаз України» на 2021 рік.</w:t>
            </w:r>
          </w:p>
        </w:tc>
        <w:tc>
          <w:tcPr>
            <w:tcW w:w="4956" w:type="dxa"/>
          </w:tcPr>
          <w:p w:rsidR="0017703B" w:rsidRPr="00C76015" w:rsidRDefault="0017703B" w:rsidP="00C76015">
            <w:pPr>
              <w:jc w:val="both"/>
              <w:rPr>
                <w:rFonts w:ascii="Times New Roman" w:eastAsia="Times New Roman" w:hAnsi="Times New Roman" w:cs="Times New Roman"/>
                <w:sz w:val="20"/>
                <w:szCs w:val="24"/>
                <w:lang w:eastAsia="uk-UA"/>
              </w:rPr>
            </w:pPr>
            <w:r w:rsidRPr="00C76015">
              <w:rPr>
                <w:rFonts w:ascii="Times New Roman" w:eastAsia="Times New Roman" w:hAnsi="Times New Roman" w:cs="Times New Roman"/>
                <w:sz w:val="20"/>
                <w:szCs w:val="24"/>
                <w:lang w:eastAsia="uk-UA"/>
              </w:rPr>
              <w:t>Враховано припущення, що Компанія не отримає доходів від участі в капіталі підприємств Групи «Нафтогаз» в 2021 – 2024 роках.</w:t>
            </w:r>
          </w:p>
        </w:tc>
      </w:tr>
    </w:tbl>
    <w:p w:rsidR="0017703B" w:rsidRPr="00C76015" w:rsidRDefault="0017703B" w:rsidP="00C76015">
      <w:pPr>
        <w:spacing w:before="120" w:after="0" w:line="240" w:lineRule="auto"/>
        <w:ind w:firstLine="567"/>
        <w:jc w:val="both"/>
        <w:rPr>
          <w:rFonts w:ascii="Times New Roman" w:hAnsi="Times New Roman" w:cs="Times New Roman"/>
          <w:color w:val="000000" w:themeColor="text1"/>
          <w:sz w:val="24"/>
          <w:szCs w:val="24"/>
          <w:lang w:eastAsia="ru-RU"/>
        </w:rPr>
      </w:pPr>
      <w:r w:rsidRPr="00C76015">
        <w:rPr>
          <w:rFonts w:ascii="Times New Roman" w:hAnsi="Times New Roman" w:cs="Times New Roman"/>
          <w:color w:val="000000" w:themeColor="text1"/>
          <w:sz w:val="24"/>
          <w:szCs w:val="24"/>
          <w:lang w:eastAsia="ru-RU"/>
        </w:rPr>
        <w:t>Відповідно до базового та песимістичного сценаріїв під час моделювання результатів діяльності НАК «Нафтогаз України» врахована інформація Компанії щодо очікуваних обсягів реалізації продукції в 2021 – 2024 роках.</w:t>
      </w:r>
    </w:p>
    <w:p w:rsidR="0017703B" w:rsidRPr="00C76015" w:rsidRDefault="0017703B" w:rsidP="00C76015">
      <w:pPr>
        <w:spacing w:after="0" w:line="240" w:lineRule="auto"/>
        <w:ind w:firstLine="567"/>
        <w:jc w:val="both"/>
        <w:rPr>
          <w:rFonts w:ascii="Times New Roman" w:hAnsi="Times New Roman" w:cs="Times New Roman"/>
          <w:color w:val="000000" w:themeColor="text1"/>
          <w:sz w:val="24"/>
          <w:szCs w:val="24"/>
          <w:lang w:eastAsia="ru-RU"/>
        </w:rPr>
      </w:pPr>
      <w:r w:rsidRPr="00C76015">
        <w:rPr>
          <w:rFonts w:ascii="Times New Roman" w:hAnsi="Times New Roman" w:cs="Times New Roman"/>
          <w:color w:val="000000" w:themeColor="text1"/>
          <w:sz w:val="24"/>
          <w:szCs w:val="24"/>
          <w:lang w:eastAsia="ru-RU"/>
        </w:rPr>
        <w:t>Так, відповідно до очікувань Компанії в 2021 році передбачається зниження обсягів реалізації природного газу порівняно із 2020 роком з 17,6 до 15,2 млрд куб м (на 2,4 млрд куб м, або на 13,7%), обсяги реалізації природного газу в 2022 – 2024 роках очікуються на рівні близько 15,5 млрд куб метрів.</w:t>
      </w:r>
    </w:p>
    <w:p w:rsidR="0017703B" w:rsidRPr="00C76015" w:rsidRDefault="0017703B" w:rsidP="0017703B">
      <w:pPr>
        <w:pStyle w:val="aff6"/>
        <w:spacing w:before="120" w:after="0"/>
        <w:jc w:val="center"/>
        <w:rPr>
          <w:rFonts w:ascii="Times New Roman" w:hAnsi="Times New Roman" w:cs="Times New Roman"/>
          <w:b/>
          <w:color w:val="auto"/>
          <w:sz w:val="22"/>
        </w:rPr>
      </w:pPr>
      <w:r w:rsidRPr="00C76015">
        <w:rPr>
          <w:rFonts w:ascii="Times New Roman" w:hAnsi="Times New Roman" w:cs="Times New Roman"/>
          <w:b/>
          <w:color w:val="auto"/>
          <w:sz w:val="22"/>
        </w:rPr>
        <w:t>Чистий прибуток (збиток) НАК «Нафтогаз України»</w:t>
      </w:r>
    </w:p>
    <w:p w:rsidR="0017703B" w:rsidRPr="00A738E3" w:rsidRDefault="0017703B" w:rsidP="00A738E3">
      <w:pPr>
        <w:spacing w:after="0" w:line="240" w:lineRule="auto"/>
        <w:ind w:right="142"/>
        <w:jc w:val="right"/>
        <w:rPr>
          <w:rFonts w:ascii="Times New Roman" w:hAnsi="Times New Roman" w:cs="Times New Roman"/>
          <w:i/>
          <w:sz w:val="20"/>
        </w:rPr>
      </w:pPr>
      <w:r w:rsidRPr="00A738E3">
        <w:rPr>
          <w:rFonts w:ascii="Times New Roman" w:hAnsi="Times New Roman" w:cs="Times New Roman"/>
          <w:i/>
          <w:sz w:val="20"/>
        </w:rPr>
        <w:t>(млн гривень)</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4"/>
        <w:gridCol w:w="943"/>
        <w:gridCol w:w="944"/>
        <w:gridCol w:w="1109"/>
        <w:gridCol w:w="821"/>
        <w:gridCol w:w="986"/>
        <w:gridCol w:w="986"/>
        <w:gridCol w:w="986"/>
      </w:tblGrid>
      <w:tr w:rsidR="0017703B" w:rsidRPr="00A738E3" w:rsidTr="00C76015">
        <w:tc>
          <w:tcPr>
            <w:tcW w:w="0" w:type="auto"/>
            <w:shd w:val="clear" w:color="000000" w:fill="FFFFFF"/>
            <w:noWrap/>
            <w:vAlign w:val="center"/>
            <w:hideMark/>
          </w:tcPr>
          <w:p w:rsidR="0017703B" w:rsidRPr="00A738E3" w:rsidRDefault="0017703B" w:rsidP="00C76015">
            <w:pPr>
              <w:spacing w:after="0" w:line="240" w:lineRule="auto"/>
              <w:rPr>
                <w:rFonts w:ascii="Times New Roman" w:hAnsi="Times New Roman" w:cs="Times New Roman"/>
                <w:color w:val="000000"/>
                <w:sz w:val="20"/>
                <w:szCs w:val="20"/>
              </w:rPr>
            </w:pPr>
          </w:p>
        </w:tc>
        <w:tc>
          <w:tcPr>
            <w:tcW w:w="0" w:type="auto"/>
            <w:shd w:val="clear" w:color="000000" w:fill="FFFFFF"/>
            <w:noWrap/>
            <w:vAlign w:val="bottom"/>
            <w:hideMark/>
          </w:tcPr>
          <w:p w:rsidR="0017703B" w:rsidRPr="00A738E3" w:rsidRDefault="0017703B" w:rsidP="00C76015">
            <w:pPr>
              <w:spacing w:after="0" w:line="240" w:lineRule="auto"/>
              <w:jc w:val="center"/>
              <w:rPr>
                <w:rFonts w:ascii="Times New Roman" w:hAnsi="Times New Roman" w:cs="Times New Roman"/>
                <w:b/>
                <w:color w:val="000000"/>
                <w:sz w:val="20"/>
                <w:szCs w:val="20"/>
              </w:rPr>
            </w:pPr>
            <w:r w:rsidRPr="00A738E3">
              <w:rPr>
                <w:rFonts w:ascii="Times New Roman" w:hAnsi="Times New Roman" w:cs="Times New Roman"/>
                <w:b/>
                <w:color w:val="000000"/>
                <w:sz w:val="20"/>
                <w:szCs w:val="20"/>
              </w:rPr>
              <w:t>2018</w:t>
            </w:r>
          </w:p>
        </w:tc>
        <w:tc>
          <w:tcPr>
            <w:tcW w:w="0" w:type="auto"/>
            <w:shd w:val="clear" w:color="000000" w:fill="FFFFFF"/>
            <w:noWrap/>
            <w:vAlign w:val="bottom"/>
            <w:hideMark/>
          </w:tcPr>
          <w:p w:rsidR="0017703B" w:rsidRPr="00A738E3" w:rsidRDefault="0017703B" w:rsidP="00C76015">
            <w:pPr>
              <w:spacing w:after="0" w:line="240" w:lineRule="auto"/>
              <w:jc w:val="center"/>
              <w:rPr>
                <w:rFonts w:ascii="Times New Roman" w:hAnsi="Times New Roman" w:cs="Times New Roman"/>
                <w:b/>
                <w:color w:val="000000"/>
                <w:sz w:val="20"/>
                <w:szCs w:val="20"/>
              </w:rPr>
            </w:pPr>
            <w:r w:rsidRPr="00A738E3">
              <w:rPr>
                <w:rFonts w:ascii="Times New Roman" w:hAnsi="Times New Roman" w:cs="Times New Roman"/>
                <w:b/>
                <w:color w:val="000000"/>
                <w:sz w:val="20"/>
                <w:szCs w:val="20"/>
              </w:rPr>
              <w:t>2019</w:t>
            </w:r>
          </w:p>
        </w:tc>
        <w:tc>
          <w:tcPr>
            <w:tcW w:w="0" w:type="auto"/>
            <w:shd w:val="clear" w:color="000000" w:fill="FFFFFF"/>
            <w:noWrap/>
            <w:vAlign w:val="bottom"/>
            <w:hideMark/>
          </w:tcPr>
          <w:p w:rsidR="00C76015" w:rsidRPr="00A738E3" w:rsidRDefault="0017703B" w:rsidP="00C76015">
            <w:pPr>
              <w:spacing w:after="0" w:line="240" w:lineRule="auto"/>
              <w:jc w:val="center"/>
              <w:rPr>
                <w:rFonts w:ascii="Times New Roman" w:hAnsi="Times New Roman" w:cs="Times New Roman"/>
                <w:b/>
                <w:color w:val="000000"/>
                <w:sz w:val="20"/>
                <w:szCs w:val="20"/>
              </w:rPr>
            </w:pPr>
            <w:r w:rsidRPr="00A738E3">
              <w:rPr>
                <w:rFonts w:ascii="Times New Roman" w:hAnsi="Times New Roman" w:cs="Times New Roman"/>
                <w:b/>
                <w:color w:val="000000"/>
                <w:sz w:val="20"/>
                <w:szCs w:val="20"/>
              </w:rPr>
              <w:t>2020</w:t>
            </w:r>
          </w:p>
        </w:tc>
        <w:tc>
          <w:tcPr>
            <w:tcW w:w="0" w:type="auto"/>
            <w:shd w:val="clear" w:color="000000" w:fill="FFFFFF"/>
            <w:noWrap/>
            <w:vAlign w:val="bottom"/>
            <w:hideMark/>
          </w:tcPr>
          <w:p w:rsidR="0017703B" w:rsidRPr="00A738E3" w:rsidRDefault="0017703B" w:rsidP="00C76015">
            <w:pPr>
              <w:spacing w:after="0" w:line="240" w:lineRule="auto"/>
              <w:jc w:val="center"/>
              <w:rPr>
                <w:rFonts w:ascii="Times New Roman" w:hAnsi="Times New Roman" w:cs="Times New Roman"/>
                <w:b/>
                <w:color w:val="000000"/>
                <w:sz w:val="20"/>
                <w:szCs w:val="20"/>
              </w:rPr>
            </w:pPr>
            <w:r w:rsidRPr="00A738E3">
              <w:rPr>
                <w:rFonts w:ascii="Times New Roman" w:hAnsi="Times New Roman" w:cs="Times New Roman"/>
                <w:b/>
                <w:color w:val="000000"/>
                <w:sz w:val="20"/>
                <w:szCs w:val="20"/>
              </w:rPr>
              <w:t>2021</w:t>
            </w:r>
          </w:p>
        </w:tc>
        <w:tc>
          <w:tcPr>
            <w:tcW w:w="0" w:type="auto"/>
            <w:shd w:val="clear" w:color="000000" w:fill="FFFFFF"/>
            <w:noWrap/>
            <w:vAlign w:val="bottom"/>
            <w:hideMark/>
          </w:tcPr>
          <w:p w:rsidR="0017703B" w:rsidRPr="00A738E3" w:rsidRDefault="0017703B" w:rsidP="00C76015">
            <w:pPr>
              <w:spacing w:after="0" w:line="240" w:lineRule="auto"/>
              <w:jc w:val="center"/>
              <w:rPr>
                <w:rFonts w:ascii="Times New Roman" w:hAnsi="Times New Roman" w:cs="Times New Roman"/>
                <w:b/>
                <w:color w:val="000000"/>
                <w:sz w:val="20"/>
                <w:szCs w:val="20"/>
              </w:rPr>
            </w:pPr>
            <w:r w:rsidRPr="00A738E3">
              <w:rPr>
                <w:rFonts w:ascii="Times New Roman" w:hAnsi="Times New Roman" w:cs="Times New Roman"/>
                <w:b/>
                <w:color w:val="000000"/>
                <w:sz w:val="20"/>
                <w:szCs w:val="20"/>
              </w:rPr>
              <w:t>2022</w:t>
            </w:r>
          </w:p>
        </w:tc>
        <w:tc>
          <w:tcPr>
            <w:tcW w:w="0" w:type="auto"/>
            <w:shd w:val="clear" w:color="000000" w:fill="FFFFFF"/>
            <w:noWrap/>
            <w:vAlign w:val="bottom"/>
            <w:hideMark/>
          </w:tcPr>
          <w:p w:rsidR="0017703B" w:rsidRPr="00A738E3" w:rsidRDefault="0017703B" w:rsidP="00C76015">
            <w:pPr>
              <w:spacing w:after="0" w:line="240" w:lineRule="auto"/>
              <w:jc w:val="center"/>
              <w:rPr>
                <w:rFonts w:ascii="Times New Roman" w:hAnsi="Times New Roman" w:cs="Times New Roman"/>
                <w:b/>
                <w:color w:val="000000"/>
                <w:sz w:val="20"/>
                <w:szCs w:val="20"/>
              </w:rPr>
            </w:pPr>
            <w:r w:rsidRPr="00A738E3">
              <w:rPr>
                <w:rFonts w:ascii="Times New Roman" w:hAnsi="Times New Roman" w:cs="Times New Roman"/>
                <w:b/>
                <w:color w:val="000000"/>
                <w:sz w:val="20"/>
                <w:szCs w:val="20"/>
              </w:rPr>
              <w:t>2023</w:t>
            </w:r>
          </w:p>
        </w:tc>
        <w:tc>
          <w:tcPr>
            <w:tcW w:w="0" w:type="auto"/>
            <w:shd w:val="clear" w:color="000000" w:fill="FFFFFF"/>
            <w:noWrap/>
            <w:vAlign w:val="bottom"/>
            <w:hideMark/>
          </w:tcPr>
          <w:p w:rsidR="0017703B" w:rsidRPr="00A738E3" w:rsidRDefault="0017703B" w:rsidP="00C76015">
            <w:pPr>
              <w:spacing w:after="0" w:line="240" w:lineRule="auto"/>
              <w:jc w:val="center"/>
              <w:rPr>
                <w:rFonts w:ascii="Times New Roman" w:hAnsi="Times New Roman" w:cs="Times New Roman"/>
                <w:b/>
                <w:color w:val="000000"/>
                <w:sz w:val="20"/>
                <w:szCs w:val="20"/>
              </w:rPr>
            </w:pPr>
            <w:r w:rsidRPr="00A738E3">
              <w:rPr>
                <w:rFonts w:ascii="Times New Roman" w:hAnsi="Times New Roman" w:cs="Times New Roman"/>
                <w:b/>
                <w:color w:val="000000"/>
                <w:sz w:val="20"/>
                <w:szCs w:val="20"/>
              </w:rPr>
              <w:t>2024</w:t>
            </w:r>
          </w:p>
        </w:tc>
      </w:tr>
      <w:tr w:rsidR="0017703B" w:rsidRPr="00A738E3" w:rsidTr="00C76015">
        <w:tc>
          <w:tcPr>
            <w:tcW w:w="0" w:type="auto"/>
            <w:shd w:val="clear" w:color="000000" w:fill="FFFFFF"/>
            <w:noWrap/>
            <w:vAlign w:val="center"/>
            <w:hideMark/>
          </w:tcPr>
          <w:p w:rsidR="0017703B" w:rsidRPr="00A738E3" w:rsidRDefault="0017703B" w:rsidP="00C76015">
            <w:pPr>
              <w:spacing w:after="0" w:line="240" w:lineRule="auto"/>
              <w:rPr>
                <w:rFonts w:ascii="Times New Roman" w:hAnsi="Times New Roman" w:cs="Times New Roman"/>
                <w:color w:val="000000"/>
                <w:sz w:val="20"/>
                <w:szCs w:val="20"/>
              </w:rPr>
            </w:pPr>
            <w:r w:rsidRPr="00A738E3">
              <w:rPr>
                <w:rFonts w:ascii="Times New Roman" w:hAnsi="Times New Roman" w:cs="Times New Roman"/>
                <w:color w:val="000000"/>
                <w:sz w:val="20"/>
                <w:szCs w:val="20"/>
              </w:rPr>
              <w:t>Базовий сценарій</w:t>
            </w:r>
          </w:p>
        </w:tc>
        <w:tc>
          <w:tcPr>
            <w:tcW w:w="0" w:type="auto"/>
            <w:shd w:val="clear" w:color="000000" w:fill="FFFFFF"/>
            <w:noWrap/>
            <w:vAlign w:val="center"/>
            <w:hideMark/>
          </w:tcPr>
          <w:p w:rsidR="0017703B" w:rsidRPr="00A738E3" w:rsidRDefault="0017703B" w:rsidP="00C76015">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13 613</w:t>
            </w:r>
          </w:p>
        </w:tc>
        <w:tc>
          <w:tcPr>
            <w:tcW w:w="0" w:type="auto"/>
            <w:shd w:val="clear" w:color="000000" w:fill="FFFFFF"/>
            <w:noWrap/>
            <w:vAlign w:val="center"/>
            <w:hideMark/>
          </w:tcPr>
          <w:p w:rsidR="0017703B" w:rsidRPr="00A738E3" w:rsidRDefault="0017703B" w:rsidP="00C76015">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50 658</w:t>
            </w:r>
          </w:p>
        </w:tc>
        <w:tc>
          <w:tcPr>
            <w:tcW w:w="0" w:type="auto"/>
            <w:shd w:val="clear" w:color="000000" w:fill="FFFFFF"/>
            <w:noWrap/>
            <w:vAlign w:val="center"/>
            <w:hideMark/>
          </w:tcPr>
          <w:p w:rsidR="0017703B" w:rsidRPr="00A738E3" w:rsidRDefault="0017703B" w:rsidP="00C76015">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(18 002)</w:t>
            </w:r>
          </w:p>
        </w:tc>
        <w:tc>
          <w:tcPr>
            <w:tcW w:w="0" w:type="auto"/>
            <w:shd w:val="clear" w:color="000000" w:fill="FFFFFF"/>
            <w:noWrap/>
            <w:vAlign w:val="center"/>
            <w:hideMark/>
          </w:tcPr>
          <w:p w:rsidR="0017703B" w:rsidRPr="00A738E3" w:rsidRDefault="0017703B" w:rsidP="00C76015">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7 827</w:t>
            </w:r>
          </w:p>
        </w:tc>
        <w:tc>
          <w:tcPr>
            <w:tcW w:w="0" w:type="auto"/>
            <w:shd w:val="clear" w:color="000000" w:fill="FFFFFF"/>
            <w:noWrap/>
            <w:vAlign w:val="center"/>
            <w:hideMark/>
          </w:tcPr>
          <w:p w:rsidR="0017703B" w:rsidRPr="00A738E3" w:rsidRDefault="0017703B" w:rsidP="00C76015">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15 801</w:t>
            </w:r>
          </w:p>
        </w:tc>
        <w:tc>
          <w:tcPr>
            <w:tcW w:w="0" w:type="auto"/>
            <w:shd w:val="clear" w:color="000000" w:fill="FFFFFF"/>
            <w:noWrap/>
            <w:vAlign w:val="center"/>
            <w:hideMark/>
          </w:tcPr>
          <w:p w:rsidR="0017703B" w:rsidRPr="00A738E3" w:rsidRDefault="0017703B" w:rsidP="00C76015">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15 806</w:t>
            </w:r>
          </w:p>
        </w:tc>
        <w:tc>
          <w:tcPr>
            <w:tcW w:w="0" w:type="auto"/>
            <w:shd w:val="clear" w:color="000000" w:fill="FFFFFF"/>
            <w:noWrap/>
            <w:vAlign w:val="center"/>
            <w:hideMark/>
          </w:tcPr>
          <w:p w:rsidR="0017703B" w:rsidRPr="00A738E3" w:rsidRDefault="0017703B" w:rsidP="00C76015">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20 215</w:t>
            </w:r>
          </w:p>
        </w:tc>
      </w:tr>
      <w:tr w:rsidR="0017703B" w:rsidRPr="00A738E3" w:rsidTr="00C76015">
        <w:tc>
          <w:tcPr>
            <w:tcW w:w="0" w:type="auto"/>
            <w:shd w:val="clear" w:color="000000" w:fill="FFFFFF"/>
            <w:noWrap/>
            <w:vAlign w:val="center"/>
            <w:hideMark/>
          </w:tcPr>
          <w:p w:rsidR="0017703B" w:rsidRPr="00A738E3" w:rsidRDefault="0017703B" w:rsidP="00C76015">
            <w:pPr>
              <w:spacing w:after="0" w:line="240" w:lineRule="auto"/>
              <w:rPr>
                <w:rFonts w:ascii="Times New Roman" w:hAnsi="Times New Roman" w:cs="Times New Roman"/>
                <w:color w:val="000000"/>
                <w:sz w:val="20"/>
                <w:szCs w:val="20"/>
              </w:rPr>
            </w:pPr>
            <w:r w:rsidRPr="00A738E3">
              <w:rPr>
                <w:rFonts w:ascii="Times New Roman" w:hAnsi="Times New Roman" w:cs="Times New Roman"/>
                <w:bCs/>
                <w:color w:val="000000"/>
                <w:sz w:val="20"/>
                <w:szCs w:val="20"/>
              </w:rPr>
              <w:t>Песимістичний сценарій</w:t>
            </w:r>
          </w:p>
        </w:tc>
        <w:tc>
          <w:tcPr>
            <w:tcW w:w="0" w:type="auto"/>
            <w:shd w:val="clear" w:color="000000" w:fill="FFFFFF"/>
            <w:noWrap/>
            <w:vAlign w:val="center"/>
            <w:hideMark/>
          </w:tcPr>
          <w:p w:rsidR="0017703B" w:rsidRPr="00A738E3" w:rsidRDefault="0017703B" w:rsidP="00C76015">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13 613</w:t>
            </w:r>
          </w:p>
        </w:tc>
        <w:tc>
          <w:tcPr>
            <w:tcW w:w="0" w:type="auto"/>
            <w:shd w:val="clear" w:color="000000" w:fill="FFFFFF"/>
            <w:noWrap/>
            <w:vAlign w:val="center"/>
            <w:hideMark/>
          </w:tcPr>
          <w:p w:rsidR="0017703B" w:rsidRPr="00A738E3" w:rsidRDefault="0017703B" w:rsidP="00C76015">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50 658</w:t>
            </w:r>
          </w:p>
        </w:tc>
        <w:tc>
          <w:tcPr>
            <w:tcW w:w="0" w:type="auto"/>
            <w:shd w:val="clear" w:color="000000" w:fill="FFFFFF"/>
            <w:noWrap/>
            <w:vAlign w:val="center"/>
            <w:hideMark/>
          </w:tcPr>
          <w:p w:rsidR="0017703B" w:rsidRPr="00A738E3" w:rsidRDefault="0017703B" w:rsidP="00C76015">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(18 002)</w:t>
            </w:r>
          </w:p>
        </w:tc>
        <w:tc>
          <w:tcPr>
            <w:tcW w:w="0" w:type="auto"/>
            <w:shd w:val="clear" w:color="000000" w:fill="FFFFFF"/>
            <w:noWrap/>
            <w:vAlign w:val="center"/>
            <w:hideMark/>
          </w:tcPr>
          <w:p w:rsidR="0017703B" w:rsidRPr="00A738E3" w:rsidRDefault="0017703B" w:rsidP="00C76015">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(72)</w:t>
            </w:r>
          </w:p>
        </w:tc>
        <w:tc>
          <w:tcPr>
            <w:tcW w:w="0" w:type="auto"/>
            <w:shd w:val="clear" w:color="000000" w:fill="FFFFFF"/>
            <w:noWrap/>
            <w:vAlign w:val="center"/>
            <w:hideMark/>
          </w:tcPr>
          <w:p w:rsidR="0017703B" w:rsidRPr="00A738E3" w:rsidRDefault="0017703B" w:rsidP="00C76015">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(3 065)</w:t>
            </w:r>
          </w:p>
        </w:tc>
        <w:tc>
          <w:tcPr>
            <w:tcW w:w="0" w:type="auto"/>
            <w:shd w:val="clear" w:color="000000" w:fill="FFFFFF"/>
            <w:noWrap/>
            <w:vAlign w:val="center"/>
            <w:hideMark/>
          </w:tcPr>
          <w:p w:rsidR="0017703B" w:rsidRPr="00A738E3" w:rsidRDefault="0017703B" w:rsidP="00C76015">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(5 755)</w:t>
            </w:r>
          </w:p>
        </w:tc>
        <w:tc>
          <w:tcPr>
            <w:tcW w:w="0" w:type="auto"/>
            <w:shd w:val="clear" w:color="000000" w:fill="FFFFFF"/>
            <w:noWrap/>
            <w:vAlign w:val="center"/>
            <w:hideMark/>
          </w:tcPr>
          <w:p w:rsidR="0017703B" w:rsidRPr="00A738E3" w:rsidRDefault="0017703B" w:rsidP="00C76015">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(7 086)</w:t>
            </w:r>
          </w:p>
        </w:tc>
      </w:tr>
    </w:tbl>
    <w:p w:rsidR="0017703B" w:rsidRPr="00C76015" w:rsidRDefault="0017703B" w:rsidP="00A738E3">
      <w:pPr>
        <w:spacing w:after="120" w:line="240" w:lineRule="auto"/>
        <w:jc w:val="both"/>
        <w:rPr>
          <w:rFonts w:ascii="Times New Roman" w:hAnsi="Times New Roman" w:cs="Times New Roman"/>
          <w:b/>
          <w:highlight w:val="lightGray"/>
          <w:lang w:val="en-US" w:eastAsia="ru-RU"/>
        </w:rPr>
      </w:pPr>
      <w:r w:rsidRPr="00C76015">
        <w:rPr>
          <w:rFonts w:ascii="Times New Roman" w:hAnsi="Times New Roman" w:cs="Times New Roman"/>
          <w:noProof/>
          <w:lang w:eastAsia="uk-UA"/>
        </w:rPr>
        <w:drawing>
          <wp:inline distT="0" distB="0" distL="0" distR="0" wp14:anchorId="49381C51" wp14:editId="08A325BF">
            <wp:extent cx="4551219" cy="2286000"/>
            <wp:effectExtent l="0" t="0" r="1905" b="0"/>
            <wp:docPr id="9" name="Діаграма 9">
              <a:extLst xmlns:a="http://schemas.openxmlformats.org/drawingml/2006/main">
                <a:ext uri="{FF2B5EF4-FFF2-40B4-BE49-F238E27FC236}">
                  <a16:creationId xmlns:a16="http://schemas.microsoft.com/office/drawing/2014/main" id="{00000000-0008-0000-0B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17703B" w:rsidRPr="00C76015" w:rsidRDefault="0017703B" w:rsidP="0017703B">
      <w:pPr>
        <w:pStyle w:val="af1"/>
        <w:ind w:firstLine="567"/>
        <w:jc w:val="both"/>
        <w:rPr>
          <w:rFonts w:ascii="Times New Roman" w:hAnsi="Times New Roman" w:cs="Times New Roman"/>
          <w:color w:val="000000" w:themeColor="text1"/>
          <w:sz w:val="24"/>
          <w:lang w:val="uk-UA"/>
        </w:rPr>
      </w:pPr>
      <w:r w:rsidRPr="00C76015">
        <w:rPr>
          <w:rFonts w:ascii="Times New Roman" w:hAnsi="Times New Roman" w:cs="Times New Roman"/>
          <w:noProof/>
          <w:color w:val="000000" w:themeColor="text1"/>
          <w:sz w:val="24"/>
          <w:lang w:val="uk-UA"/>
        </w:rPr>
        <w:t xml:space="preserve">Як показано на діаграмі, </w:t>
      </w:r>
      <w:r w:rsidRPr="00C76015">
        <w:rPr>
          <w:rFonts w:ascii="Times New Roman" w:hAnsi="Times New Roman" w:cs="Times New Roman"/>
          <w:color w:val="000000" w:themeColor="text1"/>
          <w:sz w:val="24"/>
          <w:lang w:val="uk-UA"/>
        </w:rPr>
        <w:t>у 2021 – 2024 роках</w:t>
      </w:r>
      <w:r w:rsidRPr="00C76015">
        <w:rPr>
          <w:rFonts w:ascii="Times New Roman" w:hAnsi="Times New Roman" w:cs="Times New Roman"/>
          <w:noProof/>
          <w:color w:val="000000" w:themeColor="text1"/>
          <w:sz w:val="24"/>
          <w:lang w:val="uk-UA"/>
        </w:rPr>
        <w:t xml:space="preserve"> за базовим сценарієм очікується прибуткова діяльність НАК «Нафтогаз України», за песимістичним сценарієм – збиткова діяльність Компанії.</w:t>
      </w:r>
    </w:p>
    <w:p w:rsidR="0017703B" w:rsidRPr="00A738E3" w:rsidRDefault="0017703B" w:rsidP="00A738E3">
      <w:pPr>
        <w:pStyle w:val="aff6"/>
        <w:spacing w:before="120" w:after="0"/>
        <w:jc w:val="center"/>
        <w:rPr>
          <w:rFonts w:ascii="Times New Roman" w:hAnsi="Times New Roman" w:cs="Times New Roman"/>
          <w:b/>
          <w:color w:val="auto"/>
          <w:sz w:val="22"/>
        </w:rPr>
      </w:pPr>
      <w:r w:rsidRPr="00A738E3">
        <w:rPr>
          <w:rFonts w:ascii="Times New Roman" w:hAnsi="Times New Roman" w:cs="Times New Roman"/>
          <w:b/>
          <w:color w:val="auto"/>
          <w:sz w:val="22"/>
        </w:rPr>
        <w:t>Коефіцієнт заборгованості НАК «Нафтогаз України»</w:t>
      </w:r>
    </w:p>
    <w:tbl>
      <w:tblPr>
        <w:tblpPr w:leftFromText="180" w:rightFromText="180" w:vertAnchor="text" w:horzAnchor="margin" w:tblpY="149"/>
        <w:tblW w:w="99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68"/>
        <w:gridCol w:w="949"/>
        <w:gridCol w:w="949"/>
        <w:gridCol w:w="949"/>
        <w:gridCol w:w="949"/>
        <w:gridCol w:w="949"/>
        <w:gridCol w:w="949"/>
        <w:gridCol w:w="949"/>
      </w:tblGrid>
      <w:tr w:rsidR="0017703B" w:rsidRPr="00A738E3" w:rsidTr="005927DD">
        <w:trPr>
          <w:trHeight w:val="264"/>
        </w:trPr>
        <w:tc>
          <w:tcPr>
            <w:tcW w:w="3268" w:type="dxa"/>
            <w:shd w:val="clear" w:color="000000" w:fill="FFFFFF"/>
            <w:noWrap/>
            <w:vAlign w:val="bottom"/>
            <w:hideMark/>
          </w:tcPr>
          <w:p w:rsidR="0017703B" w:rsidRPr="00A738E3" w:rsidRDefault="0017703B" w:rsidP="00A738E3">
            <w:pPr>
              <w:spacing w:after="0" w:line="240" w:lineRule="auto"/>
              <w:rPr>
                <w:rFonts w:ascii="Times New Roman" w:hAnsi="Times New Roman" w:cs="Times New Roman"/>
                <w:color w:val="000000"/>
                <w:sz w:val="20"/>
                <w:szCs w:val="20"/>
              </w:rPr>
            </w:pPr>
          </w:p>
        </w:tc>
        <w:tc>
          <w:tcPr>
            <w:tcW w:w="949" w:type="dxa"/>
            <w:shd w:val="clear" w:color="000000" w:fill="FFFFFF"/>
            <w:noWrap/>
            <w:vAlign w:val="bottom"/>
            <w:hideMark/>
          </w:tcPr>
          <w:p w:rsidR="0017703B" w:rsidRPr="00D42472" w:rsidRDefault="0017703B" w:rsidP="00D42472">
            <w:pPr>
              <w:spacing w:after="0" w:line="240" w:lineRule="auto"/>
              <w:jc w:val="center"/>
              <w:rPr>
                <w:rFonts w:ascii="Times New Roman" w:hAnsi="Times New Roman" w:cs="Times New Roman"/>
                <w:b/>
                <w:color w:val="000000"/>
                <w:sz w:val="20"/>
                <w:szCs w:val="20"/>
              </w:rPr>
            </w:pPr>
            <w:r w:rsidRPr="00D42472">
              <w:rPr>
                <w:rFonts w:ascii="Times New Roman" w:hAnsi="Times New Roman" w:cs="Times New Roman"/>
                <w:b/>
                <w:color w:val="000000"/>
                <w:sz w:val="20"/>
                <w:szCs w:val="20"/>
              </w:rPr>
              <w:t>2018</w:t>
            </w:r>
          </w:p>
        </w:tc>
        <w:tc>
          <w:tcPr>
            <w:tcW w:w="949" w:type="dxa"/>
            <w:shd w:val="clear" w:color="000000" w:fill="FFFFFF"/>
            <w:noWrap/>
            <w:vAlign w:val="bottom"/>
            <w:hideMark/>
          </w:tcPr>
          <w:p w:rsidR="0017703B" w:rsidRPr="00D42472" w:rsidRDefault="0017703B" w:rsidP="00D42472">
            <w:pPr>
              <w:spacing w:after="0" w:line="240" w:lineRule="auto"/>
              <w:jc w:val="center"/>
              <w:rPr>
                <w:rFonts w:ascii="Times New Roman" w:hAnsi="Times New Roman" w:cs="Times New Roman"/>
                <w:b/>
                <w:color w:val="000000"/>
                <w:sz w:val="20"/>
                <w:szCs w:val="20"/>
              </w:rPr>
            </w:pPr>
            <w:r w:rsidRPr="00D42472">
              <w:rPr>
                <w:rFonts w:ascii="Times New Roman" w:hAnsi="Times New Roman" w:cs="Times New Roman"/>
                <w:b/>
                <w:color w:val="000000"/>
                <w:sz w:val="20"/>
                <w:szCs w:val="20"/>
              </w:rPr>
              <w:t>2019</w:t>
            </w:r>
          </w:p>
        </w:tc>
        <w:tc>
          <w:tcPr>
            <w:tcW w:w="949" w:type="dxa"/>
            <w:shd w:val="clear" w:color="000000" w:fill="FFFFFF"/>
            <w:noWrap/>
            <w:vAlign w:val="bottom"/>
            <w:hideMark/>
          </w:tcPr>
          <w:p w:rsidR="0017703B" w:rsidRPr="00D42472" w:rsidRDefault="0017703B" w:rsidP="00D42472">
            <w:pPr>
              <w:spacing w:after="0" w:line="240" w:lineRule="auto"/>
              <w:jc w:val="center"/>
              <w:rPr>
                <w:rFonts w:ascii="Times New Roman" w:hAnsi="Times New Roman" w:cs="Times New Roman"/>
                <w:b/>
                <w:color w:val="000000"/>
                <w:sz w:val="20"/>
                <w:szCs w:val="20"/>
              </w:rPr>
            </w:pPr>
            <w:r w:rsidRPr="00D42472">
              <w:rPr>
                <w:rFonts w:ascii="Times New Roman" w:hAnsi="Times New Roman" w:cs="Times New Roman"/>
                <w:b/>
                <w:color w:val="000000"/>
                <w:sz w:val="20"/>
                <w:szCs w:val="20"/>
              </w:rPr>
              <w:t>2020</w:t>
            </w:r>
          </w:p>
        </w:tc>
        <w:tc>
          <w:tcPr>
            <w:tcW w:w="949" w:type="dxa"/>
            <w:shd w:val="clear" w:color="000000" w:fill="FFFFFF"/>
            <w:noWrap/>
            <w:vAlign w:val="bottom"/>
            <w:hideMark/>
          </w:tcPr>
          <w:p w:rsidR="0017703B" w:rsidRPr="00D42472" w:rsidRDefault="0017703B" w:rsidP="00D42472">
            <w:pPr>
              <w:spacing w:after="0" w:line="240" w:lineRule="auto"/>
              <w:jc w:val="center"/>
              <w:rPr>
                <w:rFonts w:ascii="Times New Roman" w:hAnsi="Times New Roman" w:cs="Times New Roman"/>
                <w:b/>
                <w:color w:val="000000"/>
                <w:sz w:val="20"/>
                <w:szCs w:val="20"/>
              </w:rPr>
            </w:pPr>
            <w:r w:rsidRPr="00D42472">
              <w:rPr>
                <w:rFonts w:ascii="Times New Roman" w:hAnsi="Times New Roman" w:cs="Times New Roman"/>
                <w:b/>
                <w:color w:val="000000"/>
                <w:sz w:val="20"/>
                <w:szCs w:val="20"/>
              </w:rPr>
              <w:t>2021</w:t>
            </w:r>
          </w:p>
        </w:tc>
        <w:tc>
          <w:tcPr>
            <w:tcW w:w="949" w:type="dxa"/>
            <w:shd w:val="clear" w:color="000000" w:fill="FFFFFF"/>
            <w:noWrap/>
            <w:vAlign w:val="bottom"/>
            <w:hideMark/>
          </w:tcPr>
          <w:p w:rsidR="0017703B" w:rsidRPr="00D42472" w:rsidRDefault="0017703B" w:rsidP="00D42472">
            <w:pPr>
              <w:spacing w:after="0" w:line="240" w:lineRule="auto"/>
              <w:jc w:val="center"/>
              <w:rPr>
                <w:rFonts w:ascii="Times New Roman" w:hAnsi="Times New Roman" w:cs="Times New Roman"/>
                <w:b/>
                <w:color w:val="000000"/>
                <w:sz w:val="20"/>
                <w:szCs w:val="20"/>
              </w:rPr>
            </w:pPr>
            <w:r w:rsidRPr="00D42472">
              <w:rPr>
                <w:rFonts w:ascii="Times New Roman" w:hAnsi="Times New Roman" w:cs="Times New Roman"/>
                <w:b/>
                <w:color w:val="000000"/>
                <w:sz w:val="20"/>
                <w:szCs w:val="20"/>
              </w:rPr>
              <w:t>2022</w:t>
            </w:r>
          </w:p>
        </w:tc>
        <w:tc>
          <w:tcPr>
            <w:tcW w:w="949" w:type="dxa"/>
            <w:shd w:val="clear" w:color="000000" w:fill="FFFFFF"/>
            <w:noWrap/>
            <w:vAlign w:val="bottom"/>
            <w:hideMark/>
          </w:tcPr>
          <w:p w:rsidR="0017703B" w:rsidRPr="00D42472" w:rsidRDefault="0017703B" w:rsidP="00D42472">
            <w:pPr>
              <w:spacing w:after="0" w:line="240" w:lineRule="auto"/>
              <w:jc w:val="center"/>
              <w:rPr>
                <w:rFonts w:ascii="Times New Roman" w:hAnsi="Times New Roman" w:cs="Times New Roman"/>
                <w:b/>
                <w:color w:val="000000"/>
                <w:sz w:val="20"/>
                <w:szCs w:val="20"/>
              </w:rPr>
            </w:pPr>
            <w:r w:rsidRPr="00D42472">
              <w:rPr>
                <w:rFonts w:ascii="Times New Roman" w:hAnsi="Times New Roman" w:cs="Times New Roman"/>
                <w:b/>
                <w:color w:val="000000"/>
                <w:sz w:val="20"/>
                <w:szCs w:val="20"/>
              </w:rPr>
              <w:t>2023</w:t>
            </w:r>
          </w:p>
        </w:tc>
        <w:tc>
          <w:tcPr>
            <w:tcW w:w="949" w:type="dxa"/>
            <w:shd w:val="clear" w:color="000000" w:fill="FFFFFF"/>
            <w:noWrap/>
            <w:vAlign w:val="bottom"/>
            <w:hideMark/>
          </w:tcPr>
          <w:p w:rsidR="0017703B" w:rsidRPr="00D42472" w:rsidRDefault="0017703B" w:rsidP="00D42472">
            <w:pPr>
              <w:spacing w:after="0" w:line="240" w:lineRule="auto"/>
              <w:jc w:val="center"/>
              <w:rPr>
                <w:rFonts w:ascii="Times New Roman" w:hAnsi="Times New Roman" w:cs="Times New Roman"/>
                <w:b/>
                <w:color w:val="000000"/>
                <w:sz w:val="20"/>
                <w:szCs w:val="20"/>
              </w:rPr>
            </w:pPr>
            <w:r w:rsidRPr="00D42472">
              <w:rPr>
                <w:rFonts w:ascii="Times New Roman" w:hAnsi="Times New Roman" w:cs="Times New Roman"/>
                <w:b/>
                <w:color w:val="000000"/>
                <w:sz w:val="20"/>
                <w:szCs w:val="20"/>
              </w:rPr>
              <w:t>2024</w:t>
            </w:r>
          </w:p>
        </w:tc>
      </w:tr>
      <w:tr w:rsidR="005927DD" w:rsidRPr="00A738E3" w:rsidTr="005927DD">
        <w:trPr>
          <w:trHeight w:val="264"/>
        </w:trPr>
        <w:tc>
          <w:tcPr>
            <w:tcW w:w="3268" w:type="dxa"/>
            <w:shd w:val="clear" w:color="000000" w:fill="FFFFFF"/>
            <w:noWrap/>
            <w:vAlign w:val="bottom"/>
            <w:hideMark/>
          </w:tcPr>
          <w:p w:rsidR="005927DD" w:rsidRPr="00A738E3" w:rsidRDefault="005927DD" w:rsidP="005927DD">
            <w:pPr>
              <w:spacing w:after="0" w:line="240" w:lineRule="auto"/>
              <w:rPr>
                <w:rFonts w:ascii="Times New Roman" w:hAnsi="Times New Roman" w:cs="Times New Roman"/>
                <w:color w:val="000000"/>
                <w:sz w:val="20"/>
                <w:szCs w:val="20"/>
              </w:rPr>
            </w:pPr>
            <w:r w:rsidRPr="00A738E3">
              <w:rPr>
                <w:rFonts w:ascii="Times New Roman" w:hAnsi="Times New Roman" w:cs="Times New Roman"/>
                <w:color w:val="000000"/>
                <w:sz w:val="20"/>
                <w:szCs w:val="20"/>
              </w:rPr>
              <w:t>Базовий сценарій</w:t>
            </w:r>
          </w:p>
        </w:tc>
        <w:tc>
          <w:tcPr>
            <w:tcW w:w="949" w:type="dxa"/>
            <w:shd w:val="clear" w:color="000000" w:fill="FFFFFF"/>
            <w:noWrap/>
            <w:vAlign w:val="bottom"/>
            <w:hideMark/>
          </w:tcPr>
          <w:p w:rsidR="005927DD" w:rsidRPr="00A738E3" w:rsidRDefault="005927DD" w:rsidP="005927DD">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19,5%</w:t>
            </w:r>
          </w:p>
        </w:tc>
        <w:tc>
          <w:tcPr>
            <w:tcW w:w="949" w:type="dxa"/>
            <w:shd w:val="clear" w:color="000000" w:fill="FFFFFF"/>
            <w:noWrap/>
            <w:vAlign w:val="bottom"/>
            <w:hideMark/>
          </w:tcPr>
          <w:p w:rsidR="005927DD" w:rsidRPr="00A738E3" w:rsidRDefault="005927DD" w:rsidP="005927DD">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24,7%</w:t>
            </w:r>
          </w:p>
        </w:tc>
        <w:tc>
          <w:tcPr>
            <w:tcW w:w="949" w:type="dxa"/>
            <w:shd w:val="clear" w:color="000000" w:fill="FFFFFF"/>
            <w:noWrap/>
            <w:vAlign w:val="bottom"/>
            <w:hideMark/>
          </w:tcPr>
          <w:p w:rsidR="005927DD" w:rsidRPr="00A738E3" w:rsidRDefault="005927DD" w:rsidP="005927DD">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23,1%</w:t>
            </w:r>
          </w:p>
        </w:tc>
        <w:tc>
          <w:tcPr>
            <w:tcW w:w="949" w:type="dxa"/>
            <w:shd w:val="clear" w:color="000000" w:fill="FFFFFF"/>
            <w:noWrap/>
            <w:vAlign w:val="bottom"/>
            <w:hideMark/>
          </w:tcPr>
          <w:p w:rsidR="005927DD" w:rsidRPr="005927DD" w:rsidRDefault="005927DD" w:rsidP="005927DD">
            <w:pPr>
              <w:spacing w:after="0" w:line="240" w:lineRule="auto"/>
              <w:jc w:val="right"/>
              <w:rPr>
                <w:rFonts w:ascii="Times New Roman" w:hAnsi="Times New Roman" w:cs="Times New Roman"/>
                <w:color w:val="000000"/>
                <w:sz w:val="20"/>
                <w:szCs w:val="20"/>
              </w:rPr>
            </w:pPr>
            <w:r w:rsidRPr="005927DD">
              <w:rPr>
                <w:rFonts w:ascii="Times New Roman" w:hAnsi="Times New Roman" w:cs="Times New Roman"/>
                <w:color w:val="000000"/>
                <w:sz w:val="20"/>
                <w:szCs w:val="20"/>
              </w:rPr>
              <w:t>25,2%</w:t>
            </w:r>
          </w:p>
        </w:tc>
        <w:tc>
          <w:tcPr>
            <w:tcW w:w="949" w:type="dxa"/>
            <w:shd w:val="clear" w:color="000000" w:fill="FFFFFF"/>
            <w:noWrap/>
            <w:vAlign w:val="bottom"/>
            <w:hideMark/>
          </w:tcPr>
          <w:p w:rsidR="005927DD" w:rsidRPr="005927DD" w:rsidRDefault="005927DD" w:rsidP="005927DD">
            <w:pPr>
              <w:spacing w:after="0" w:line="240" w:lineRule="auto"/>
              <w:jc w:val="right"/>
              <w:rPr>
                <w:rFonts w:ascii="Times New Roman" w:hAnsi="Times New Roman" w:cs="Times New Roman"/>
                <w:color w:val="000000"/>
                <w:sz w:val="20"/>
                <w:szCs w:val="20"/>
              </w:rPr>
            </w:pPr>
            <w:r w:rsidRPr="005927DD">
              <w:rPr>
                <w:rFonts w:ascii="Times New Roman" w:hAnsi="Times New Roman" w:cs="Times New Roman"/>
                <w:color w:val="000000"/>
                <w:sz w:val="20"/>
                <w:szCs w:val="20"/>
              </w:rPr>
              <w:t>24,0%</w:t>
            </w:r>
          </w:p>
        </w:tc>
        <w:tc>
          <w:tcPr>
            <w:tcW w:w="949" w:type="dxa"/>
            <w:shd w:val="clear" w:color="000000" w:fill="FFFFFF"/>
            <w:noWrap/>
            <w:vAlign w:val="bottom"/>
            <w:hideMark/>
          </w:tcPr>
          <w:p w:rsidR="005927DD" w:rsidRPr="005927DD" w:rsidRDefault="005927DD" w:rsidP="005927DD">
            <w:pPr>
              <w:spacing w:after="0" w:line="240" w:lineRule="auto"/>
              <w:jc w:val="right"/>
              <w:rPr>
                <w:rFonts w:ascii="Times New Roman" w:hAnsi="Times New Roman" w:cs="Times New Roman"/>
                <w:color w:val="000000"/>
                <w:sz w:val="20"/>
                <w:szCs w:val="20"/>
              </w:rPr>
            </w:pPr>
            <w:r w:rsidRPr="005927DD">
              <w:rPr>
                <w:rFonts w:ascii="Times New Roman" w:hAnsi="Times New Roman" w:cs="Times New Roman"/>
                <w:color w:val="000000"/>
                <w:sz w:val="20"/>
                <w:szCs w:val="20"/>
              </w:rPr>
              <w:t>22,3%</w:t>
            </w:r>
          </w:p>
        </w:tc>
        <w:tc>
          <w:tcPr>
            <w:tcW w:w="949" w:type="dxa"/>
            <w:shd w:val="clear" w:color="000000" w:fill="FFFFFF"/>
            <w:noWrap/>
            <w:vAlign w:val="bottom"/>
            <w:hideMark/>
          </w:tcPr>
          <w:p w:rsidR="005927DD" w:rsidRPr="005927DD" w:rsidRDefault="005927DD" w:rsidP="005927DD">
            <w:pPr>
              <w:spacing w:after="0" w:line="240" w:lineRule="auto"/>
              <w:jc w:val="right"/>
              <w:rPr>
                <w:rFonts w:ascii="Times New Roman" w:hAnsi="Times New Roman" w:cs="Times New Roman"/>
                <w:color w:val="000000"/>
                <w:sz w:val="20"/>
                <w:szCs w:val="20"/>
              </w:rPr>
            </w:pPr>
            <w:r w:rsidRPr="005927DD">
              <w:rPr>
                <w:rFonts w:ascii="Times New Roman" w:hAnsi="Times New Roman" w:cs="Times New Roman"/>
                <w:color w:val="000000"/>
                <w:sz w:val="20"/>
                <w:szCs w:val="20"/>
              </w:rPr>
              <w:t>18,5%</w:t>
            </w:r>
          </w:p>
        </w:tc>
      </w:tr>
      <w:tr w:rsidR="0017703B" w:rsidRPr="00A738E3" w:rsidTr="005927DD">
        <w:trPr>
          <w:trHeight w:val="264"/>
        </w:trPr>
        <w:tc>
          <w:tcPr>
            <w:tcW w:w="3268" w:type="dxa"/>
            <w:shd w:val="clear" w:color="000000" w:fill="FFFFFF"/>
            <w:noWrap/>
            <w:vAlign w:val="bottom"/>
            <w:hideMark/>
          </w:tcPr>
          <w:p w:rsidR="0017703B" w:rsidRPr="00A738E3" w:rsidRDefault="0017703B" w:rsidP="00A738E3">
            <w:pPr>
              <w:spacing w:after="0" w:line="240" w:lineRule="auto"/>
              <w:rPr>
                <w:rFonts w:ascii="Times New Roman" w:hAnsi="Times New Roman" w:cs="Times New Roman"/>
                <w:color w:val="000000"/>
                <w:sz w:val="20"/>
                <w:szCs w:val="20"/>
              </w:rPr>
            </w:pPr>
            <w:r w:rsidRPr="00A738E3">
              <w:rPr>
                <w:rFonts w:ascii="Times New Roman" w:hAnsi="Times New Roman" w:cs="Times New Roman"/>
                <w:color w:val="000000"/>
                <w:sz w:val="20"/>
                <w:szCs w:val="20"/>
              </w:rPr>
              <w:t>Песимістичний сценарій</w:t>
            </w:r>
          </w:p>
        </w:tc>
        <w:tc>
          <w:tcPr>
            <w:tcW w:w="949" w:type="dxa"/>
            <w:shd w:val="clear" w:color="000000" w:fill="FFFFFF"/>
            <w:noWrap/>
            <w:vAlign w:val="bottom"/>
            <w:hideMark/>
          </w:tcPr>
          <w:p w:rsidR="0017703B" w:rsidRPr="00A738E3" w:rsidRDefault="0017703B" w:rsidP="00D42472">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19,5%</w:t>
            </w:r>
          </w:p>
        </w:tc>
        <w:tc>
          <w:tcPr>
            <w:tcW w:w="949" w:type="dxa"/>
            <w:shd w:val="clear" w:color="000000" w:fill="FFFFFF"/>
            <w:noWrap/>
            <w:vAlign w:val="bottom"/>
            <w:hideMark/>
          </w:tcPr>
          <w:p w:rsidR="0017703B" w:rsidRPr="00A738E3" w:rsidRDefault="0017703B" w:rsidP="00D42472">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24,7%</w:t>
            </w:r>
          </w:p>
        </w:tc>
        <w:tc>
          <w:tcPr>
            <w:tcW w:w="949" w:type="dxa"/>
            <w:shd w:val="clear" w:color="000000" w:fill="FFFFFF"/>
            <w:noWrap/>
            <w:vAlign w:val="bottom"/>
            <w:hideMark/>
          </w:tcPr>
          <w:p w:rsidR="0017703B" w:rsidRPr="00A738E3" w:rsidRDefault="0017703B" w:rsidP="00D42472">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23,1%</w:t>
            </w:r>
          </w:p>
        </w:tc>
        <w:tc>
          <w:tcPr>
            <w:tcW w:w="949" w:type="dxa"/>
            <w:shd w:val="clear" w:color="000000" w:fill="FFFFFF"/>
            <w:noWrap/>
            <w:vAlign w:val="bottom"/>
            <w:hideMark/>
          </w:tcPr>
          <w:p w:rsidR="0017703B" w:rsidRPr="00A738E3" w:rsidRDefault="0017703B" w:rsidP="00D42472">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24,0%</w:t>
            </w:r>
          </w:p>
        </w:tc>
        <w:tc>
          <w:tcPr>
            <w:tcW w:w="949" w:type="dxa"/>
            <w:shd w:val="clear" w:color="000000" w:fill="FFFFFF"/>
            <w:noWrap/>
            <w:vAlign w:val="bottom"/>
            <w:hideMark/>
          </w:tcPr>
          <w:p w:rsidR="0017703B" w:rsidRPr="00A738E3" w:rsidRDefault="0017703B" w:rsidP="00D42472">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23,2%</w:t>
            </w:r>
          </w:p>
        </w:tc>
        <w:tc>
          <w:tcPr>
            <w:tcW w:w="949" w:type="dxa"/>
            <w:shd w:val="clear" w:color="000000" w:fill="FFFFFF"/>
            <w:noWrap/>
            <w:vAlign w:val="bottom"/>
            <w:hideMark/>
          </w:tcPr>
          <w:p w:rsidR="0017703B" w:rsidRPr="00A738E3" w:rsidRDefault="0017703B" w:rsidP="00D42472">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22,0%</w:t>
            </w:r>
          </w:p>
        </w:tc>
        <w:tc>
          <w:tcPr>
            <w:tcW w:w="949" w:type="dxa"/>
            <w:shd w:val="clear" w:color="000000" w:fill="FFFFFF"/>
            <w:noWrap/>
            <w:vAlign w:val="bottom"/>
            <w:hideMark/>
          </w:tcPr>
          <w:p w:rsidR="0017703B" w:rsidRPr="00A738E3" w:rsidRDefault="0017703B" w:rsidP="00D42472">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17,4%</w:t>
            </w:r>
          </w:p>
        </w:tc>
      </w:tr>
    </w:tbl>
    <w:p w:rsidR="0017703B" w:rsidRDefault="0017703B" w:rsidP="00A738E3">
      <w:pPr>
        <w:spacing w:after="120" w:line="240" w:lineRule="auto"/>
        <w:jc w:val="both"/>
        <w:rPr>
          <w:b/>
          <w:lang w:eastAsia="ru-RU"/>
        </w:rPr>
      </w:pPr>
      <w:r>
        <w:rPr>
          <w:noProof/>
          <w:lang w:eastAsia="uk-UA"/>
        </w:rPr>
        <w:drawing>
          <wp:inline distT="0" distB="0" distL="0" distR="0" wp14:anchorId="75EBCD73" wp14:editId="7235B667">
            <wp:extent cx="4705350" cy="1438275"/>
            <wp:effectExtent l="0" t="0" r="0" b="0"/>
            <wp:docPr id="16" name="Діаграма 16">
              <a:extLst xmlns:a="http://schemas.openxmlformats.org/drawingml/2006/main">
                <a:ext uri="{FF2B5EF4-FFF2-40B4-BE49-F238E27FC236}">
                  <a16:creationId xmlns:a16="http://schemas.microsoft.com/office/drawing/2014/main" id="{00000000-0008-0000-0B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17703B" w:rsidRPr="00A738E3" w:rsidRDefault="0017703B" w:rsidP="00A738E3">
      <w:pPr>
        <w:pStyle w:val="af1"/>
        <w:spacing w:after="120"/>
        <w:ind w:firstLine="567"/>
        <w:jc w:val="both"/>
        <w:rPr>
          <w:rFonts w:ascii="Times New Roman" w:hAnsi="Times New Roman" w:cs="Times New Roman"/>
          <w:color w:val="000000" w:themeColor="text1"/>
          <w:sz w:val="24"/>
          <w:szCs w:val="24"/>
          <w:lang w:val="uk-UA"/>
        </w:rPr>
      </w:pPr>
      <w:r w:rsidRPr="00A738E3">
        <w:rPr>
          <w:rFonts w:ascii="Times New Roman" w:hAnsi="Times New Roman" w:cs="Times New Roman"/>
          <w:color w:val="000000" w:themeColor="text1"/>
          <w:sz w:val="24"/>
          <w:szCs w:val="24"/>
          <w:lang w:val="uk-UA" w:eastAsia="ru-RU"/>
        </w:rPr>
        <w:t xml:space="preserve">Значення </w:t>
      </w:r>
      <w:r w:rsidRPr="00A738E3">
        <w:rPr>
          <w:rFonts w:ascii="Times New Roman" w:hAnsi="Times New Roman" w:cs="Times New Roman"/>
          <w:color w:val="000000" w:themeColor="text1"/>
          <w:sz w:val="24"/>
          <w:szCs w:val="24"/>
          <w:lang w:val="uk-UA"/>
        </w:rPr>
        <w:t xml:space="preserve">коефіцієнта заборгованості </w:t>
      </w:r>
      <w:r w:rsidRPr="00372523">
        <w:rPr>
          <w:rFonts w:ascii="Times New Roman" w:hAnsi="Times New Roman" w:cs="Times New Roman"/>
          <w:color w:val="000000" w:themeColor="text1"/>
          <w:sz w:val="24"/>
          <w:szCs w:val="24"/>
          <w:lang w:val="ru-RU"/>
        </w:rPr>
        <w:t>НАК «</w:t>
      </w:r>
      <w:proofErr w:type="spellStart"/>
      <w:r w:rsidRPr="00372523">
        <w:rPr>
          <w:rFonts w:ascii="Times New Roman" w:hAnsi="Times New Roman" w:cs="Times New Roman"/>
          <w:color w:val="000000" w:themeColor="text1"/>
          <w:sz w:val="24"/>
          <w:szCs w:val="24"/>
          <w:lang w:val="ru-RU"/>
        </w:rPr>
        <w:t>Нафтогаз</w:t>
      </w:r>
      <w:proofErr w:type="spellEnd"/>
      <w:r w:rsidRPr="00372523">
        <w:rPr>
          <w:rFonts w:ascii="Times New Roman" w:hAnsi="Times New Roman" w:cs="Times New Roman"/>
          <w:color w:val="000000" w:themeColor="text1"/>
          <w:sz w:val="24"/>
          <w:szCs w:val="24"/>
          <w:lang w:val="ru-RU"/>
        </w:rPr>
        <w:t xml:space="preserve"> </w:t>
      </w:r>
      <w:proofErr w:type="spellStart"/>
      <w:r w:rsidRPr="00372523">
        <w:rPr>
          <w:rFonts w:ascii="Times New Roman" w:hAnsi="Times New Roman" w:cs="Times New Roman"/>
          <w:color w:val="000000" w:themeColor="text1"/>
          <w:sz w:val="24"/>
          <w:szCs w:val="24"/>
          <w:lang w:val="ru-RU"/>
        </w:rPr>
        <w:t>України</w:t>
      </w:r>
      <w:proofErr w:type="spellEnd"/>
      <w:r w:rsidRPr="00372523">
        <w:rPr>
          <w:rFonts w:ascii="Times New Roman" w:hAnsi="Times New Roman" w:cs="Times New Roman"/>
          <w:color w:val="000000" w:themeColor="text1"/>
          <w:sz w:val="24"/>
          <w:szCs w:val="24"/>
          <w:lang w:val="ru-RU"/>
        </w:rPr>
        <w:t xml:space="preserve">» </w:t>
      </w:r>
      <w:r w:rsidRPr="00A738E3">
        <w:rPr>
          <w:rFonts w:ascii="Times New Roman" w:hAnsi="Times New Roman" w:cs="Times New Roman"/>
          <w:color w:val="000000" w:themeColor="text1"/>
          <w:sz w:val="24"/>
          <w:szCs w:val="24"/>
          <w:lang w:val="uk-UA"/>
        </w:rPr>
        <w:t xml:space="preserve">протягом 2018 – 2020 років (на рівні </w:t>
      </w:r>
      <w:r w:rsidR="00BE00B2" w:rsidRPr="00BE00B2">
        <w:rPr>
          <w:rFonts w:ascii="Times New Roman" w:hAnsi="Times New Roman" w:cs="Times New Roman"/>
          <w:sz w:val="24"/>
          <w:szCs w:val="24"/>
          <w:lang w:val="uk-UA"/>
        </w:rPr>
        <w:t>20 – 25</w:t>
      </w:r>
      <w:r w:rsidR="00BE00B2" w:rsidRPr="00A738E3">
        <w:rPr>
          <w:rFonts w:ascii="Times New Roman" w:hAnsi="Times New Roman" w:cs="Times New Roman"/>
          <w:color w:val="000000" w:themeColor="text1"/>
          <w:sz w:val="24"/>
          <w:szCs w:val="24"/>
          <w:lang w:val="uk-UA"/>
        </w:rPr>
        <w:t>%</w:t>
      </w:r>
      <w:r w:rsidRPr="00A738E3">
        <w:rPr>
          <w:rFonts w:ascii="Times New Roman" w:hAnsi="Times New Roman" w:cs="Times New Roman"/>
          <w:color w:val="000000" w:themeColor="text1"/>
          <w:sz w:val="24"/>
          <w:szCs w:val="24"/>
          <w:lang w:val="uk-UA"/>
        </w:rPr>
        <w:t xml:space="preserve">) свідчить про сталу залежність </w:t>
      </w:r>
      <w:r w:rsidRPr="00A738E3">
        <w:rPr>
          <w:rFonts w:ascii="Times New Roman" w:hAnsi="Times New Roman" w:cs="Times New Roman"/>
          <w:sz w:val="24"/>
          <w:szCs w:val="24"/>
          <w:lang w:val="uk-UA"/>
        </w:rPr>
        <w:t xml:space="preserve">Компанії </w:t>
      </w:r>
      <w:r w:rsidRPr="00A738E3">
        <w:rPr>
          <w:rFonts w:ascii="Times New Roman" w:hAnsi="Times New Roman" w:cs="Times New Roman"/>
          <w:color w:val="000000" w:themeColor="text1"/>
          <w:sz w:val="24"/>
          <w:szCs w:val="24"/>
          <w:lang w:val="uk-UA"/>
        </w:rPr>
        <w:t>від позикового капіталу, п</w:t>
      </w:r>
      <w:r w:rsidRPr="00A738E3">
        <w:rPr>
          <w:rFonts w:ascii="Times New Roman" w:hAnsi="Times New Roman" w:cs="Times New Roman"/>
          <w:color w:val="000000" w:themeColor="text1"/>
          <w:sz w:val="24"/>
          <w:szCs w:val="24"/>
          <w:lang w:val="uk-UA" w:eastAsia="ru-RU"/>
        </w:rPr>
        <w:t>ри цьому за обома сценаріями</w:t>
      </w:r>
      <w:r w:rsidRPr="00A738E3">
        <w:rPr>
          <w:rFonts w:ascii="Times New Roman" w:hAnsi="Times New Roman" w:cs="Times New Roman"/>
          <w:color w:val="000000" w:themeColor="text1"/>
          <w:sz w:val="24"/>
          <w:szCs w:val="24"/>
          <w:lang w:val="uk-UA"/>
        </w:rPr>
        <w:t xml:space="preserve"> </w:t>
      </w:r>
      <w:r w:rsidRPr="00A738E3">
        <w:rPr>
          <w:rFonts w:ascii="Times New Roman" w:hAnsi="Times New Roman" w:cs="Times New Roman"/>
          <w:color w:val="000000" w:themeColor="text1"/>
          <w:sz w:val="24"/>
          <w:szCs w:val="24"/>
          <w:lang w:val="uk-UA" w:eastAsia="ru-RU"/>
        </w:rPr>
        <w:t>у</w:t>
      </w:r>
      <w:r w:rsidRPr="00A738E3">
        <w:rPr>
          <w:rFonts w:ascii="Times New Roman" w:hAnsi="Times New Roman" w:cs="Times New Roman"/>
          <w:color w:val="000000" w:themeColor="text1"/>
          <w:sz w:val="24"/>
          <w:szCs w:val="24"/>
          <w:lang w:val="uk-UA"/>
        </w:rPr>
        <w:t xml:space="preserve"> 2021 – 2024 роках значення цього показника очікується на такому ж рівні.</w:t>
      </w:r>
    </w:p>
    <w:p w:rsidR="00D84E84" w:rsidRPr="00D84E84" w:rsidRDefault="00D84E84" w:rsidP="00A738E3">
      <w:pPr>
        <w:pStyle w:val="aff6"/>
        <w:spacing w:before="120" w:after="0"/>
        <w:jc w:val="center"/>
        <w:rPr>
          <w:rFonts w:ascii="Times New Roman" w:hAnsi="Times New Roman" w:cs="Times New Roman"/>
          <w:b/>
          <w:color w:val="auto"/>
          <w:sz w:val="12"/>
          <w:szCs w:val="12"/>
        </w:rPr>
      </w:pPr>
    </w:p>
    <w:p w:rsidR="0017703B" w:rsidRPr="00A738E3" w:rsidRDefault="0017703B" w:rsidP="00A738E3">
      <w:pPr>
        <w:pStyle w:val="aff6"/>
        <w:spacing w:before="120" w:after="0"/>
        <w:jc w:val="center"/>
        <w:rPr>
          <w:rFonts w:ascii="Times New Roman" w:hAnsi="Times New Roman" w:cs="Times New Roman"/>
          <w:b/>
          <w:color w:val="auto"/>
          <w:sz w:val="22"/>
        </w:rPr>
      </w:pPr>
      <w:r w:rsidRPr="00A738E3">
        <w:rPr>
          <w:rFonts w:ascii="Times New Roman" w:hAnsi="Times New Roman" w:cs="Times New Roman"/>
          <w:b/>
          <w:color w:val="auto"/>
          <w:sz w:val="22"/>
        </w:rPr>
        <w:t>Коефіцієнт поточної ліквідності НАК «Нафтогаз України»</w:t>
      </w:r>
    </w:p>
    <w:tbl>
      <w:tblPr>
        <w:tblpPr w:leftFromText="180" w:rightFromText="180" w:vertAnchor="text" w:horzAnchor="margin" w:tblpX="-10" w:tblpY="149"/>
        <w:tblW w:w="97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32"/>
        <w:gridCol w:w="949"/>
        <w:gridCol w:w="949"/>
        <w:gridCol w:w="949"/>
        <w:gridCol w:w="949"/>
        <w:gridCol w:w="949"/>
        <w:gridCol w:w="949"/>
        <w:gridCol w:w="949"/>
      </w:tblGrid>
      <w:tr w:rsidR="0017703B" w:rsidRPr="00A738E3" w:rsidTr="00C4052A">
        <w:trPr>
          <w:trHeight w:val="264"/>
        </w:trPr>
        <w:tc>
          <w:tcPr>
            <w:tcW w:w="3132" w:type="dxa"/>
            <w:shd w:val="clear" w:color="000000" w:fill="FFFFFF"/>
            <w:noWrap/>
            <w:vAlign w:val="bottom"/>
            <w:hideMark/>
          </w:tcPr>
          <w:p w:rsidR="0017703B" w:rsidRPr="00A738E3" w:rsidRDefault="0017703B" w:rsidP="00A738E3">
            <w:pPr>
              <w:spacing w:after="0" w:line="240" w:lineRule="auto"/>
              <w:rPr>
                <w:rFonts w:ascii="Times New Roman" w:hAnsi="Times New Roman" w:cs="Times New Roman"/>
                <w:color w:val="000000"/>
                <w:sz w:val="20"/>
                <w:szCs w:val="20"/>
              </w:rPr>
            </w:pPr>
          </w:p>
        </w:tc>
        <w:tc>
          <w:tcPr>
            <w:tcW w:w="949" w:type="dxa"/>
            <w:shd w:val="clear" w:color="000000" w:fill="FFFFFF"/>
            <w:noWrap/>
            <w:vAlign w:val="bottom"/>
            <w:hideMark/>
          </w:tcPr>
          <w:p w:rsidR="0017703B" w:rsidRPr="00D42472" w:rsidRDefault="0017703B" w:rsidP="00A738E3">
            <w:pPr>
              <w:spacing w:after="0" w:line="240" w:lineRule="auto"/>
              <w:jc w:val="center"/>
              <w:rPr>
                <w:rFonts w:ascii="Times New Roman" w:hAnsi="Times New Roman" w:cs="Times New Roman"/>
                <w:b/>
                <w:color w:val="000000"/>
                <w:sz w:val="20"/>
                <w:szCs w:val="20"/>
              </w:rPr>
            </w:pPr>
            <w:r w:rsidRPr="00D42472">
              <w:rPr>
                <w:rFonts w:ascii="Times New Roman" w:hAnsi="Times New Roman" w:cs="Times New Roman"/>
                <w:b/>
                <w:color w:val="000000"/>
                <w:sz w:val="20"/>
                <w:szCs w:val="20"/>
              </w:rPr>
              <w:t>2018</w:t>
            </w:r>
          </w:p>
        </w:tc>
        <w:tc>
          <w:tcPr>
            <w:tcW w:w="949" w:type="dxa"/>
            <w:shd w:val="clear" w:color="000000" w:fill="FFFFFF"/>
            <w:noWrap/>
            <w:vAlign w:val="bottom"/>
            <w:hideMark/>
          </w:tcPr>
          <w:p w:rsidR="0017703B" w:rsidRPr="00D42472" w:rsidRDefault="0017703B" w:rsidP="00A738E3">
            <w:pPr>
              <w:spacing w:after="0" w:line="240" w:lineRule="auto"/>
              <w:jc w:val="center"/>
              <w:rPr>
                <w:rFonts w:ascii="Times New Roman" w:hAnsi="Times New Roman" w:cs="Times New Roman"/>
                <w:b/>
                <w:color w:val="000000"/>
                <w:sz w:val="20"/>
                <w:szCs w:val="20"/>
              </w:rPr>
            </w:pPr>
            <w:r w:rsidRPr="00D42472">
              <w:rPr>
                <w:rFonts w:ascii="Times New Roman" w:hAnsi="Times New Roman" w:cs="Times New Roman"/>
                <w:b/>
                <w:color w:val="000000"/>
                <w:sz w:val="20"/>
                <w:szCs w:val="20"/>
              </w:rPr>
              <w:t>2019</w:t>
            </w:r>
          </w:p>
        </w:tc>
        <w:tc>
          <w:tcPr>
            <w:tcW w:w="949" w:type="dxa"/>
            <w:shd w:val="clear" w:color="000000" w:fill="FFFFFF"/>
            <w:noWrap/>
            <w:vAlign w:val="bottom"/>
            <w:hideMark/>
          </w:tcPr>
          <w:p w:rsidR="0017703B" w:rsidRPr="00D42472" w:rsidRDefault="0017703B" w:rsidP="00A738E3">
            <w:pPr>
              <w:spacing w:after="0" w:line="240" w:lineRule="auto"/>
              <w:jc w:val="center"/>
              <w:rPr>
                <w:rFonts w:ascii="Times New Roman" w:hAnsi="Times New Roman" w:cs="Times New Roman"/>
                <w:b/>
                <w:color w:val="000000"/>
                <w:sz w:val="20"/>
                <w:szCs w:val="20"/>
              </w:rPr>
            </w:pPr>
            <w:r w:rsidRPr="00D42472">
              <w:rPr>
                <w:rFonts w:ascii="Times New Roman" w:hAnsi="Times New Roman" w:cs="Times New Roman"/>
                <w:b/>
                <w:color w:val="000000"/>
                <w:sz w:val="20"/>
                <w:szCs w:val="20"/>
              </w:rPr>
              <w:t>2020</w:t>
            </w:r>
          </w:p>
        </w:tc>
        <w:tc>
          <w:tcPr>
            <w:tcW w:w="949" w:type="dxa"/>
            <w:shd w:val="clear" w:color="000000" w:fill="FFFFFF"/>
            <w:noWrap/>
            <w:vAlign w:val="bottom"/>
            <w:hideMark/>
          </w:tcPr>
          <w:p w:rsidR="0017703B" w:rsidRPr="00D42472" w:rsidRDefault="0017703B" w:rsidP="00A738E3">
            <w:pPr>
              <w:spacing w:after="0" w:line="240" w:lineRule="auto"/>
              <w:jc w:val="center"/>
              <w:rPr>
                <w:rFonts w:ascii="Times New Roman" w:hAnsi="Times New Roman" w:cs="Times New Roman"/>
                <w:b/>
                <w:color w:val="000000"/>
                <w:sz w:val="20"/>
                <w:szCs w:val="20"/>
              </w:rPr>
            </w:pPr>
            <w:r w:rsidRPr="00D42472">
              <w:rPr>
                <w:rFonts w:ascii="Times New Roman" w:hAnsi="Times New Roman" w:cs="Times New Roman"/>
                <w:b/>
                <w:color w:val="000000"/>
                <w:sz w:val="20"/>
                <w:szCs w:val="20"/>
              </w:rPr>
              <w:t>2021</w:t>
            </w:r>
          </w:p>
        </w:tc>
        <w:tc>
          <w:tcPr>
            <w:tcW w:w="949" w:type="dxa"/>
            <w:shd w:val="clear" w:color="000000" w:fill="FFFFFF"/>
            <w:noWrap/>
            <w:vAlign w:val="bottom"/>
            <w:hideMark/>
          </w:tcPr>
          <w:p w:rsidR="0017703B" w:rsidRPr="00D42472" w:rsidRDefault="0017703B" w:rsidP="00A738E3">
            <w:pPr>
              <w:spacing w:after="0" w:line="240" w:lineRule="auto"/>
              <w:jc w:val="center"/>
              <w:rPr>
                <w:rFonts w:ascii="Times New Roman" w:hAnsi="Times New Roman" w:cs="Times New Roman"/>
                <w:b/>
                <w:color w:val="000000"/>
                <w:sz w:val="20"/>
                <w:szCs w:val="20"/>
              </w:rPr>
            </w:pPr>
            <w:r w:rsidRPr="00D42472">
              <w:rPr>
                <w:rFonts w:ascii="Times New Roman" w:hAnsi="Times New Roman" w:cs="Times New Roman"/>
                <w:b/>
                <w:color w:val="000000"/>
                <w:sz w:val="20"/>
                <w:szCs w:val="20"/>
              </w:rPr>
              <w:t>2022</w:t>
            </w:r>
          </w:p>
        </w:tc>
        <w:tc>
          <w:tcPr>
            <w:tcW w:w="949" w:type="dxa"/>
            <w:shd w:val="clear" w:color="000000" w:fill="FFFFFF"/>
            <w:noWrap/>
            <w:vAlign w:val="bottom"/>
            <w:hideMark/>
          </w:tcPr>
          <w:p w:rsidR="0017703B" w:rsidRPr="00D42472" w:rsidRDefault="0017703B" w:rsidP="00A738E3">
            <w:pPr>
              <w:spacing w:after="0" w:line="240" w:lineRule="auto"/>
              <w:jc w:val="center"/>
              <w:rPr>
                <w:rFonts w:ascii="Times New Roman" w:hAnsi="Times New Roman" w:cs="Times New Roman"/>
                <w:b/>
                <w:color w:val="000000"/>
                <w:sz w:val="20"/>
                <w:szCs w:val="20"/>
              </w:rPr>
            </w:pPr>
            <w:r w:rsidRPr="00D42472">
              <w:rPr>
                <w:rFonts w:ascii="Times New Roman" w:hAnsi="Times New Roman" w:cs="Times New Roman"/>
                <w:b/>
                <w:color w:val="000000"/>
                <w:sz w:val="20"/>
                <w:szCs w:val="20"/>
              </w:rPr>
              <w:t>2023</w:t>
            </w:r>
          </w:p>
        </w:tc>
        <w:tc>
          <w:tcPr>
            <w:tcW w:w="949" w:type="dxa"/>
            <w:shd w:val="clear" w:color="000000" w:fill="FFFFFF"/>
            <w:noWrap/>
            <w:vAlign w:val="bottom"/>
            <w:hideMark/>
          </w:tcPr>
          <w:p w:rsidR="0017703B" w:rsidRPr="00D42472" w:rsidRDefault="0017703B" w:rsidP="00A738E3">
            <w:pPr>
              <w:spacing w:after="0" w:line="240" w:lineRule="auto"/>
              <w:jc w:val="center"/>
              <w:rPr>
                <w:rFonts w:ascii="Times New Roman" w:hAnsi="Times New Roman" w:cs="Times New Roman"/>
                <w:b/>
                <w:color w:val="000000"/>
                <w:sz w:val="20"/>
                <w:szCs w:val="20"/>
              </w:rPr>
            </w:pPr>
            <w:r w:rsidRPr="00D42472">
              <w:rPr>
                <w:rFonts w:ascii="Times New Roman" w:hAnsi="Times New Roman" w:cs="Times New Roman"/>
                <w:b/>
                <w:color w:val="000000"/>
                <w:sz w:val="20"/>
                <w:szCs w:val="20"/>
              </w:rPr>
              <w:t>2024</w:t>
            </w:r>
          </w:p>
        </w:tc>
      </w:tr>
      <w:tr w:rsidR="005927DD" w:rsidRPr="00A738E3" w:rsidTr="00C4052A">
        <w:trPr>
          <w:trHeight w:val="264"/>
        </w:trPr>
        <w:tc>
          <w:tcPr>
            <w:tcW w:w="3132" w:type="dxa"/>
            <w:shd w:val="clear" w:color="000000" w:fill="FFFFFF"/>
            <w:noWrap/>
            <w:vAlign w:val="bottom"/>
            <w:hideMark/>
          </w:tcPr>
          <w:p w:rsidR="005927DD" w:rsidRPr="00A738E3" w:rsidRDefault="005927DD" w:rsidP="005927DD">
            <w:pPr>
              <w:spacing w:after="0" w:line="240" w:lineRule="auto"/>
              <w:rPr>
                <w:rFonts w:ascii="Times New Roman" w:hAnsi="Times New Roman" w:cs="Times New Roman"/>
                <w:color w:val="000000"/>
                <w:sz w:val="20"/>
                <w:szCs w:val="20"/>
              </w:rPr>
            </w:pPr>
            <w:r w:rsidRPr="00A738E3">
              <w:rPr>
                <w:rFonts w:ascii="Times New Roman" w:hAnsi="Times New Roman" w:cs="Times New Roman"/>
                <w:color w:val="000000"/>
                <w:sz w:val="20"/>
                <w:szCs w:val="20"/>
              </w:rPr>
              <w:t>Базовий сценарій</w:t>
            </w:r>
          </w:p>
        </w:tc>
        <w:tc>
          <w:tcPr>
            <w:tcW w:w="949" w:type="dxa"/>
            <w:shd w:val="clear" w:color="000000" w:fill="FFFFFF"/>
            <w:noWrap/>
            <w:vAlign w:val="bottom"/>
            <w:hideMark/>
          </w:tcPr>
          <w:p w:rsidR="005927DD" w:rsidRPr="00A738E3" w:rsidRDefault="005927DD" w:rsidP="005927DD">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1,80</w:t>
            </w:r>
          </w:p>
        </w:tc>
        <w:tc>
          <w:tcPr>
            <w:tcW w:w="949" w:type="dxa"/>
            <w:shd w:val="clear" w:color="000000" w:fill="FFFFFF"/>
            <w:noWrap/>
            <w:vAlign w:val="bottom"/>
            <w:hideMark/>
          </w:tcPr>
          <w:p w:rsidR="005927DD" w:rsidRPr="00A738E3" w:rsidRDefault="005927DD" w:rsidP="005927DD">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2,90</w:t>
            </w:r>
          </w:p>
        </w:tc>
        <w:tc>
          <w:tcPr>
            <w:tcW w:w="949" w:type="dxa"/>
            <w:shd w:val="clear" w:color="000000" w:fill="FFFFFF"/>
            <w:noWrap/>
            <w:vAlign w:val="bottom"/>
            <w:hideMark/>
          </w:tcPr>
          <w:p w:rsidR="005927DD" w:rsidRPr="00A738E3" w:rsidRDefault="005927DD" w:rsidP="005927DD">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3,54</w:t>
            </w:r>
          </w:p>
        </w:tc>
        <w:tc>
          <w:tcPr>
            <w:tcW w:w="949" w:type="dxa"/>
            <w:shd w:val="clear" w:color="000000" w:fill="FFFFFF"/>
            <w:noWrap/>
            <w:vAlign w:val="bottom"/>
            <w:hideMark/>
          </w:tcPr>
          <w:p w:rsidR="005927DD" w:rsidRPr="005927DD" w:rsidRDefault="005927DD" w:rsidP="005927DD">
            <w:pPr>
              <w:spacing w:after="0" w:line="240" w:lineRule="auto"/>
              <w:jc w:val="right"/>
              <w:rPr>
                <w:rFonts w:ascii="Times New Roman" w:hAnsi="Times New Roman" w:cs="Times New Roman"/>
                <w:color w:val="000000"/>
                <w:sz w:val="20"/>
                <w:szCs w:val="20"/>
              </w:rPr>
            </w:pPr>
            <w:r w:rsidRPr="005927DD">
              <w:rPr>
                <w:rFonts w:ascii="Times New Roman" w:hAnsi="Times New Roman" w:cs="Times New Roman"/>
                <w:color w:val="000000"/>
                <w:sz w:val="20"/>
                <w:szCs w:val="20"/>
              </w:rPr>
              <w:t>3,92</w:t>
            </w:r>
          </w:p>
        </w:tc>
        <w:tc>
          <w:tcPr>
            <w:tcW w:w="949" w:type="dxa"/>
            <w:shd w:val="clear" w:color="000000" w:fill="FFFFFF"/>
            <w:noWrap/>
            <w:vAlign w:val="bottom"/>
            <w:hideMark/>
          </w:tcPr>
          <w:p w:rsidR="005927DD" w:rsidRPr="005927DD" w:rsidRDefault="005927DD" w:rsidP="005927DD">
            <w:pPr>
              <w:spacing w:after="0" w:line="240" w:lineRule="auto"/>
              <w:jc w:val="right"/>
              <w:rPr>
                <w:rFonts w:ascii="Times New Roman" w:hAnsi="Times New Roman" w:cs="Times New Roman"/>
                <w:color w:val="000000"/>
                <w:sz w:val="20"/>
                <w:szCs w:val="20"/>
              </w:rPr>
            </w:pPr>
            <w:r w:rsidRPr="005927DD">
              <w:rPr>
                <w:rFonts w:ascii="Times New Roman" w:hAnsi="Times New Roman" w:cs="Times New Roman"/>
                <w:color w:val="000000"/>
                <w:sz w:val="20"/>
                <w:szCs w:val="20"/>
              </w:rPr>
              <w:t>3,72</w:t>
            </w:r>
          </w:p>
        </w:tc>
        <w:tc>
          <w:tcPr>
            <w:tcW w:w="949" w:type="dxa"/>
            <w:shd w:val="clear" w:color="000000" w:fill="FFFFFF"/>
            <w:noWrap/>
            <w:vAlign w:val="bottom"/>
            <w:hideMark/>
          </w:tcPr>
          <w:p w:rsidR="005927DD" w:rsidRPr="005927DD" w:rsidRDefault="005927DD" w:rsidP="005927DD">
            <w:pPr>
              <w:spacing w:after="0" w:line="240" w:lineRule="auto"/>
              <w:jc w:val="right"/>
              <w:rPr>
                <w:rFonts w:ascii="Times New Roman" w:hAnsi="Times New Roman" w:cs="Times New Roman"/>
                <w:color w:val="000000"/>
                <w:sz w:val="20"/>
                <w:szCs w:val="20"/>
              </w:rPr>
            </w:pPr>
            <w:r w:rsidRPr="005927DD">
              <w:rPr>
                <w:rFonts w:ascii="Times New Roman" w:hAnsi="Times New Roman" w:cs="Times New Roman"/>
                <w:color w:val="000000"/>
                <w:sz w:val="20"/>
                <w:szCs w:val="20"/>
              </w:rPr>
              <w:t>3,74</w:t>
            </w:r>
          </w:p>
        </w:tc>
        <w:tc>
          <w:tcPr>
            <w:tcW w:w="949" w:type="dxa"/>
            <w:shd w:val="clear" w:color="000000" w:fill="FFFFFF"/>
            <w:noWrap/>
            <w:vAlign w:val="bottom"/>
            <w:hideMark/>
          </w:tcPr>
          <w:p w:rsidR="005927DD" w:rsidRPr="005927DD" w:rsidRDefault="005927DD" w:rsidP="005927DD">
            <w:pPr>
              <w:spacing w:after="0" w:line="240" w:lineRule="auto"/>
              <w:jc w:val="right"/>
              <w:rPr>
                <w:rFonts w:ascii="Times New Roman" w:hAnsi="Times New Roman" w:cs="Times New Roman"/>
                <w:color w:val="000000"/>
                <w:sz w:val="20"/>
                <w:szCs w:val="20"/>
              </w:rPr>
            </w:pPr>
            <w:r w:rsidRPr="005927DD">
              <w:rPr>
                <w:rFonts w:ascii="Times New Roman" w:hAnsi="Times New Roman" w:cs="Times New Roman"/>
                <w:color w:val="000000"/>
                <w:sz w:val="20"/>
                <w:szCs w:val="20"/>
              </w:rPr>
              <w:t>3,42</w:t>
            </w:r>
          </w:p>
        </w:tc>
      </w:tr>
      <w:tr w:rsidR="0017703B" w:rsidRPr="00A738E3" w:rsidTr="00C4052A">
        <w:trPr>
          <w:trHeight w:val="264"/>
        </w:trPr>
        <w:tc>
          <w:tcPr>
            <w:tcW w:w="3132" w:type="dxa"/>
            <w:shd w:val="clear" w:color="000000" w:fill="FFFFFF"/>
            <w:noWrap/>
            <w:vAlign w:val="bottom"/>
            <w:hideMark/>
          </w:tcPr>
          <w:p w:rsidR="0017703B" w:rsidRPr="00A738E3" w:rsidRDefault="0017703B" w:rsidP="00A738E3">
            <w:pPr>
              <w:spacing w:after="0" w:line="240" w:lineRule="auto"/>
              <w:rPr>
                <w:rFonts w:ascii="Times New Roman" w:hAnsi="Times New Roman" w:cs="Times New Roman"/>
                <w:color w:val="000000"/>
                <w:sz w:val="20"/>
                <w:szCs w:val="20"/>
              </w:rPr>
            </w:pPr>
            <w:r w:rsidRPr="00A738E3">
              <w:rPr>
                <w:rFonts w:ascii="Times New Roman" w:hAnsi="Times New Roman" w:cs="Times New Roman"/>
                <w:color w:val="000000"/>
                <w:sz w:val="20"/>
                <w:szCs w:val="20"/>
              </w:rPr>
              <w:t>Песимістичний сценарій</w:t>
            </w:r>
          </w:p>
        </w:tc>
        <w:tc>
          <w:tcPr>
            <w:tcW w:w="949" w:type="dxa"/>
            <w:shd w:val="clear" w:color="000000" w:fill="FFFFFF"/>
            <w:noWrap/>
            <w:vAlign w:val="bottom"/>
            <w:hideMark/>
          </w:tcPr>
          <w:p w:rsidR="0017703B" w:rsidRPr="00A738E3" w:rsidRDefault="0017703B" w:rsidP="00A738E3">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1,80</w:t>
            </w:r>
          </w:p>
        </w:tc>
        <w:tc>
          <w:tcPr>
            <w:tcW w:w="949" w:type="dxa"/>
            <w:shd w:val="clear" w:color="000000" w:fill="FFFFFF"/>
            <w:noWrap/>
            <w:vAlign w:val="bottom"/>
            <w:hideMark/>
          </w:tcPr>
          <w:p w:rsidR="0017703B" w:rsidRPr="00A738E3" w:rsidRDefault="0017703B" w:rsidP="00A738E3">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2,90</w:t>
            </w:r>
          </w:p>
        </w:tc>
        <w:tc>
          <w:tcPr>
            <w:tcW w:w="949" w:type="dxa"/>
            <w:shd w:val="clear" w:color="000000" w:fill="FFFFFF"/>
            <w:noWrap/>
            <w:vAlign w:val="bottom"/>
            <w:hideMark/>
          </w:tcPr>
          <w:p w:rsidR="0017703B" w:rsidRPr="00A738E3" w:rsidRDefault="0017703B" w:rsidP="00A738E3">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3,54</w:t>
            </w:r>
          </w:p>
        </w:tc>
        <w:tc>
          <w:tcPr>
            <w:tcW w:w="949" w:type="dxa"/>
            <w:shd w:val="clear" w:color="000000" w:fill="FFFFFF"/>
            <w:noWrap/>
            <w:vAlign w:val="bottom"/>
            <w:hideMark/>
          </w:tcPr>
          <w:p w:rsidR="0017703B" w:rsidRPr="00A738E3" w:rsidRDefault="0017703B" w:rsidP="00A738E3">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4,60</w:t>
            </w:r>
          </w:p>
        </w:tc>
        <w:tc>
          <w:tcPr>
            <w:tcW w:w="949" w:type="dxa"/>
            <w:shd w:val="clear" w:color="000000" w:fill="FFFFFF"/>
            <w:noWrap/>
            <w:vAlign w:val="bottom"/>
            <w:hideMark/>
          </w:tcPr>
          <w:p w:rsidR="0017703B" w:rsidRPr="00A738E3" w:rsidRDefault="0017703B" w:rsidP="00A738E3">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4,00</w:t>
            </w:r>
          </w:p>
        </w:tc>
        <w:tc>
          <w:tcPr>
            <w:tcW w:w="949" w:type="dxa"/>
            <w:shd w:val="clear" w:color="000000" w:fill="FFFFFF"/>
            <w:noWrap/>
            <w:vAlign w:val="bottom"/>
            <w:hideMark/>
          </w:tcPr>
          <w:p w:rsidR="0017703B" w:rsidRPr="00A738E3" w:rsidRDefault="0017703B" w:rsidP="00A738E3">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3,60</w:t>
            </w:r>
          </w:p>
        </w:tc>
        <w:tc>
          <w:tcPr>
            <w:tcW w:w="949" w:type="dxa"/>
            <w:shd w:val="clear" w:color="000000" w:fill="FFFFFF"/>
            <w:noWrap/>
            <w:vAlign w:val="bottom"/>
            <w:hideMark/>
          </w:tcPr>
          <w:p w:rsidR="0017703B" w:rsidRPr="00A738E3" w:rsidRDefault="0017703B" w:rsidP="00A738E3">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2,74</w:t>
            </w:r>
          </w:p>
        </w:tc>
      </w:tr>
    </w:tbl>
    <w:p w:rsidR="0017703B" w:rsidRDefault="0017703B" w:rsidP="00A738E3">
      <w:pPr>
        <w:pStyle w:val="af1"/>
        <w:spacing w:after="120"/>
        <w:jc w:val="both"/>
        <w:rPr>
          <w:rFonts w:ascii="Times New Roman" w:hAnsi="Times New Roman" w:cs="Times New Roman"/>
          <w:color w:val="000000" w:themeColor="text1"/>
          <w:highlight w:val="lightGray"/>
          <w:lang w:val="uk-UA"/>
        </w:rPr>
      </w:pPr>
      <w:r>
        <w:rPr>
          <w:noProof/>
          <w:lang w:val="uk-UA" w:eastAsia="uk-UA" w:bidi="ar-SA"/>
        </w:rPr>
        <w:drawing>
          <wp:inline distT="0" distB="0" distL="0" distR="0" wp14:anchorId="11A3708D" wp14:editId="462190B0">
            <wp:extent cx="4848225" cy="1485900"/>
            <wp:effectExtent l="0" t="0" r="0" b="0"/>
            <wp:docPr id="17" name="Діаграма 17">
              <a:extLst xmlns:a="http://schemas.openxmlformats.org/drawingml/2006/main">
                <a:ext uri="{FF2B5EF4-FFF2-40B4-BE49-F238E27FC236}">
                  <a16:creationId xmlns:a16="http://schemas.microsoft.com/office/drawing/2014/main" id="{00000000-0008-0000-0B00-00000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17703B" w:rsidRPr="00A738E3" w:rsidRDefault="0017703B" w:rsidP="003B098D">
      <w:pPr>
        <w:pStyle w:val="af1"/>
        <w:ind w:firstLine="567"/>
        <w:jc w:val="both"/>
        <w:rPr>
          <w:rFonts w:ascii="Times New Roman" w:hAnsi="Times New Roman" w:cs="Times New Roman"/>
          <w:color w:val="000000" w:themeColor="text1"/>
          <w:sz w:val="24"/>
          <w:szCs w:val="24"/>
          <w:lang w:val="uk-UA" w:eastAsia="ru-RU"/>
        </w:rPr>
      </w:pPr>
      <w:r w:rsidRPr="00A738E3">
        <w:rPr>
          <w:rFonts w:ascii="Times New Roman" w:hAnsi="Times New Roman" w:cs="Times New Roman"/>
          <w:color w:val="000000" w:themeColor="text1"/>
          <w:sz w:val="24"/>
          <w:szCs w:val="24"/>
          <w:lang w:val="uk-UA" w:eastAsia="ru-RU"/>
        </w:rPr>
        <w:t>Також за обома сценаріями очікується високе значення показника поточної ліквідності НАК «Нафтогаз України» у 2021 – 2024 роках (розраховується як відношення оборотних активів до короткострокових (поточних) зобов’язань та відображає можливість погашення короткострокових зобов’язань за рахунок оборотних активів), що свідчить про достатність обігових коштів Компанії для виконання поточних зобов’язань.</w:t>
      </w:r>
    </w:p>
    <w:p w:rsidR="0017703B" w:rsidRDefault="0017703B" w:rsidP="003B098D">
      <w:pPr>
        <w:pStyle w:val="af1"/>
        <w:ind w:firstLine="567"/>
        <w:jc w:val="both"/>
        <w:rPr>
          <w:rFonts w:ascii="Times New Roman" w:hAnsi="Times New Roman" w:cs="Times New Roman"/>
          <w:color w:val="000000" w:themeColor="text1"/>
          <w:sz w:val="24"/>
          <w:szCs w:val="24"/>
          <w:lang w:val="uk-UA" w:eastAsia="ru-RU"/>
        </w:rPr>
      </w:pPr>
      <w:r w:rsidRPr="00A738E3">
        <w:rPr>
          <w:rFonts w:ascii="Times New Roman" w:hAnsi="Times New Roman" w:cs="Times New Roman"/>
          <w:color w:val="000000" w:themeColor="text1"/>
          <w:sz w:val="24"/>
          <w:szCs w:val="24"/>
          <w:lang w:val="uk-UA" w:eastAsia="ru-RU"/>
        </w:rPr>
        <w:t>Таким чином, у разі реалізації песимістичного сценарію, очікується збиткова діяльність Компанії у 2021 – 2024 роках, що негативно відобразиться на обсягах сплати до державного бюджету відповідних податків та платежів.</w:t>
      </w:r>
    </w:p>
    <w:p w:rsidR="0053521E" w:rsidRPr="002962EC" w:rsidRDefault="00637F95" w:rsidP="0053521E">
      <w:pPr>
        <w:spacing w:after="0" w:line="240" w:lineRule="auto"/>
        <w:ind w:firstLine="567"/>
        <w:jc w:val="both"/>
        <w:rPr>
          <w:rFonts w:ascii="Times New Roman" w:hAnsi="Times New Roman" w:cs="Times New Roman"/>
          <w:sz w:val="24"/>
          <w:szCs w:val="24"/>
        </w:rPr>
      </w:pPr>
      <w:r w:rsidRPr="00125744">
        <w:rPr>
          <w:rFonts w:ascii="Times New Roman" w:hAnsi="Times New Roman" w:cs="Times New Roman"/>
          <w:sz w:val="24"/>
          <w:szCs w:val="24"/>
        </w:rPr>
        <w:t xml:space="preserve">Крім того, відповідно до інформації Компанії, яка надавалась Мінфіну, у </w:t>
      </w:r>
      <w:r w:rsidRPr="00125744">
        <w:rPr>
          <w:rFonts w:ascii="Times New Roman" w:hAnsi="Times New Roman" w:cs="Times New Roman"/>
          <w:sz w:val="24"/>
          <w:szCs w:val="24"/>
        </w:rPr>
        <w:br/>
        <w:t xml:space="preserve">2022-2024 </w:t>
      </w:r>
      <w:r w:rsidR="0053521E" w:rsidRPr="00125744">
        <w:rPr>
          <w:rFonts w:ascii="Times New Roman" w:hAnsi="Times New Roman" w:cs="Times New Roman"/>
          <w:sz w:val="24"/>
          <w:szCs w:val="24"/>
        </w:rPr>
        <w:t xml:space="preserve">роках </w:t>
      </w:r>
      <w:r w:rsidRPr="00125744">
        <w:rPr>
          <w:rFonts w:ascii="Times New Roman" w:hAnsi="Times New Roman" w:cs="Times New Roman"/>
          <w:sz w:val="24"/>
          <w:szCs w:val="24"/>
        </w:rPr>
        <w:t>Компанією планується здійснення закупів</w:t>
      </w:r>
      <w:r w:rsidR="00260DB7" w:rsidRPr="00125744">
        <w:rPr>
          <w:rFonts w:ascii="Times New Roman" w:hAnsi="Times New Roman" w:cs="Times New Roman"/>
          <w:sz w:val="24"/>
          <w:szCs w:val="24"/>
        </w:rPr>
        <w:t>лі</w:t>
      </w:r>
      <w:r w:rsidRPr="00125744">
        <w:rPr>
          <w:rFonts w:ascii="Times New Roman" w:hAnsi="Times New Roman" w:cs="Times New Roman"/>
          <w:sz w:val="24"/>
          <w:szCs w:val="24"/>
        </w:rPr>
        <w:t xml:space="preserve"> імпортного газу за цінами</w:t>
      </w:r>
      <w:r w:rsidR="0053521E" w:rsidRPr="00125744">
        <w:rPr>
          <w:rFonts w:ascii="Times New Roman" w:hAnsi="Times New Roman" w:cs="Times New Roman"/>
          <w:sz w:val="24"/>
          <w:szCs w:val="24"/>
        </w:rPr>
        <w:t xml:space="preserve">, які значно нижчі від цін на газ, зокрема на європейському ринку, які останнім часом мають тенденцію до стрімкого зростання, що може вплинути на </w:t>
      </w:r>
      <w:r w:rsidR="007D0491" w:rsidRPr="00125744">
        <w:rPr>
          <w:rFonts w:ascii="Times New Roman" w:hAnsi="Times New Roman" w:cs="Times New Roman"/>
          <w:sz w:val="24"/>
          <w:szCs w:val="24"/>
        </w:rPr>
        <w:t xml:space="preserve">результати </w:t>
      </w:r>
      <w:r w:rsidR="0053521E" w:rsidRPr="00125744">
        <w:rPr>
          <w:rFonts w:ascii="Times New Roman" w:hAnsi="Times New Roman" w:cs="Times New Roman"/>
          <w:sz w:val="24"/>
          <w:szCs w:val="24"/>
        </w:rPr>
        <w:t>діяльн</w:t>
      </w:r>
      <w:r w:rsidR="007D0491" w:rsidRPr="00125744">
        <w:rPr>
          <w:rFonts w:ascii="Times New Roman" w:hAnsi="Times New Roman" w:cs="Times New Roman"/>
          <w:sz w:val="24"/>
          <w:szCs w:val="24"/>
        </w:rPr>
        <w:t>ості</w:t>
      </w:r>
      <w:r w:rsidR="0053521E" w:rsidRPr="00125744">
        <w:rPr>
          <w:rFonts w:ascii="Times New Roman" w:hAnsi="Times New Roman" w:cs="Times New Roman"/>
          <w:sz w:val="24"/>
          <w:szCs w:val="24"/>
        </w:rPr>
        <w:t xml:space="preserve"> Компанії</w:t>
      </w:r>
      <w:r w:rsidR="007D0491" w:rsidRPr="00125744">
        <w:rPr>
          <w:rFonts w:ascii="Times New Roman" w:hAnsi="Times New Roman" w:cs="Times New Roman"/>
          <w:sz w:val="24"/>
          <w:szCs w:val="24"/>
        </w:rPr>
        <w:t xml:space="preserve"> та потребуватиме вжиття заходів щодо мінімізації ризиків в </w:t>
      </w:r>
      <w:r w:rsidR="00782D89" w:rsidRPr="00125744">
        <w:rPr>
          <w:rFonts w:ascii="Times New Roman" w:hAnsi="Times New Roman" w:cs="Times New Roman"/>
          <w:sz w:val="24"/>
          <w:szCs w:val="24"/>
        </w:rPr>
        <w:t xml:space="preserve">її </w:t>
      </w:r>
      <w:r w:rsidR="007D0491" w:rsidRPr="00125744">
        <w:rPr>
          <w:rFonts w:ascii="Times New Roman" w:hAnsi="Times New Roman" w:cs="Times New Roman"/>
          <w:sz w:val="24"/>
          <w:szCs w:val="24"/>
        </w:rPr>
        <w:t>діяльності, зокрема шляхом оптимізації витрат</w:t>
      </w:r>
      <w:r w:rsidR="0053521E" w:rsidRPr="00125744">
        <w:rPr>
          <w:rFonts w:ascii="Times New Roman" w:hAnsi="Times New Roman" w:cs="Times New Roman"/>
          <w:sz w:val="24"/>
          <w:szCs w:val="24"/>
        </w:rPr>
        <w:t>.</w:t>
      </w:r>
    </w:p>
    <w:p w:rsidR="0017703B" w:rsidRDefault="0017703B" w:rsidP="003B098D">
      <w:pPr>
        <w:spacing w:after="0" w:line="240" w:lineRule="auto"/>
        <w:ind w:firstLine="567"/>
        <w:jc w:val="both"/>
        <w:rPr>
          <w:rFonts w:ascii="Times New Roman" w:eastAsia="Arial" w:hAnsi="Times New Roman" w:cs="Times New Roman"/>
          <w:color w:val="000000" w:themeColor="text1"/>
          <w:sz w:val="24"/>
          <w:szCs w:val="24"/>
          <w:lang w:eastAsia="ru-RU" w:bidi="en-US"/>
        </w:rPr>
      </w:pPr>
      <w:r w:rsidRPr="00A738E3">
        <w:rPr>
          <w:rFonts w:ascii="Times New Roman" w:eastAsia="Arial" w:hAnsi="Times New Roman" w:cs="Times New Roman"/>
          <w:color w:val="000000" w:themeColor="text1"/>
          <w:sz w:val="24"/>
          <w:szCs w:val="24"/>
          <w:lang w:eastAsia="ru-RU" w:bidi="en-US"/>
        </w:rPr>
        <w:t>Моделювання очікуваних фінансових результатів діяльності НАК «Нафтогаз України» здійснено без урахування наслідків реалізації Закону України «Про заходи, спрямовані на подолання кризових явищ та забезпечення фінансової стабільності на ринку природного газу» (від 14.07.2021 № 1639-IX).</w:t>
      </w:r>
    </w:p>
    <w:p w:rsidR="0017703B" w:rsidRDefault="0017703B" w:rsidP="00A738E3">
      <w:pPr>
        <w:spacing w:after="0" w:line="240" w:lineRule="auto"/>
        <w:ind w:firstLine="567"/>
        <w:jc w:val="both"/>
        <w:rPr>
          <w:rFonts w:ascii="Times New Roman" w:eastAsia="Arial" w:hAnsi="Times New Roman" w:cs="Times New Roman"/>
          <w:color w:val="000000" w:themeColor="text1"/>
          <w:sz w:val="24"/>
          <w:szCs w:val="24"/>
          <w:lang w:eastAsia="ru-RU" w:bidi="en-US"/>
        </w:rPr>
      </w:pPr>
      <w:r w:rsidRPr="00A738E3">
        <w:rPr>
          <w:rFonts w:ascii="Times New Roman" w:eastAsia="Arial" w:hAnsi="Times New Roman" w:cs="Times New Roman"/>
          <w:color w:val="000000" w:themeColor="text1"/>
          <w:sz w:val="24"/>
          <w:szCs w:val="24"/>
          <w:lang w:eastAsia="ru-RU" w:bidi="en-US"/>
        </w:rPr>
        <w:t>Наведена інформація про очікувані показники діяльності НАК «Нафтогаз України» у 2021 – 2024 роках є розрахунковою, не враховує усіх можливих доходів та витрат Компанії, відображає можливий тренд фінансових прогнозів за умов реалізації різних сценаріїв та може відхилятись від фактичної ситуації внаслідок впливу не врахованих у сценаріях подій та не може розглядатись як гарантія настання таких подій у майбутньому.</w:t>
      </w:r>
    </w:p>
    <w:p w:rsidR="00FB1CE5" w:rsidRPr="00FB1CE5" w:rsidRDefault="00FB1CE5" w:rsidP="00A738E3">
      <w:pPr>
        <w:spacing w:after="0" w:line="240" w:lineRule="auto"/>
        <w:ind w:firstLine="567"/>
        <w:jc w:val="both"/>
        <w:rPr>
          <w:rFonts w:ascii="Times New Roman" w:eastAsia="Arial" w:hAnsi="Times New Roman" w:cs="Times New Roman"/>
          <w:color w:val="000000" w:themeColor="text1"/>
          <w:sz w:val="18"/>
          <w:szCs w:val="18"/>
          <w:lang w:eastAsia="ru-RU" w:bidi="en-US"/>
        </w:rPr>
      </w:pPr>
    </w:p>
    <w:p w:rsidR="0017703B" w:rsidRPr="00C20695" w:rsidRDefault="0017703B" w:rsidP="0053372B">
      <w:pPr>
        <w:pStyle w:val="af1"/>
        <w:spacing w:before="120" w:after="120"/>
        <w:jc w:val="center"/>
        <w:rPr>
          <w:rFonts w:ascii="Times New Roman" w:hAnsi="Times New Roman" w:cs="Times New Roman"/>
          <w:b/>
          <w:i/>
          <w:color w:val="000000" w:themeColor="text1"/>
          <w:sz w:val="24"/>
          <w:szCs w:val="24"/>
          <w:lang w:val="uk-UA" w:eastAsia="ru-RU"/>
        </w:rPr>
      </w:pPr>
      <w:r w:rsidRPr="00C20695">
        <w:rPr>
          <w:rFonts w:ascii="Times New Roman" w:hAnsi="Times New Roman" w:cs="Times New Roman"/>
          <w:b/>
          <w:i/>
          <w:color w:val="000000" w:themeColor="text1"/>
          <w:sz w:val="24"/>
          <w:szCs w:val="24"/>
          <w:lang w:val="uk-UA" w:eastAsia="ru-RU"/>
        </w:rPr>
        <w:t>АТ «Укрзалізниця»</w:t>
      </w:r>
    </w:p>
    <w:p w:rsidR="0017703B" w:rsidRPr="00A738E3" w:rsidRDefault="0017703B" w:rsidP="00A738E3">
      <w:pPr>
        <w:spacing w:after="0" w:line="240" w:lineRule="auto"/>
        <w:ind w:firstLine="567"/>
        <w:jc w:val="both"/>
        <w:rPr>
          <w:rFonts w:ascii="Times New Roman" w:eastAsia="Arial" w:hAnsi="Times New Roman" w:cs="Times New Roman"/>
          <w:color w:val="000000" w:themeColor="text1"/>
          <w:sz w:val="24"/>
          <w:szCs w:val="24"/>
          <w:lang w:eastAsia="ru-RU" w:bidi="en-US"/>
        </w:rPr>
      </w:pPr>
      <w:r w:rsidRPr="00A738E3">
        <w:rPr>
          <w:rFonts w:ascii="Times New Roman" w:eastAsia="Arial" w:hAnsi="Times New Roman" w:cs="Times New Roman"/>
          <w:color w:val="000000" w:themeColor="text1"/>
          <w:sz w:val="24"/>
          <w:szCs w:val="24"/>
          <w:lang w:eastAsia="ru-RU" w:bidi="en-US"/>
        </w:rPr>
        <w:t xml:space="preserve">АТ «Укрзалізниця» (далі – Товариство) є природною монополією на території України в частині надання послуг з користування об’єктами інфраструктури, що забезпечують рух залізничного транспорту загального користування, та керування диспетчерськими службами. </w:t>
      </w:r>
    </w:p>
    <w:p w:rsidR="0017703B" w:rsidRPr="00A738E3" w:rsidRDefault="0017703B" w:rsidP="00A738E3">
      <w:pPr>
        <w:spacing w:after="0" w:line="240" w:lineRule="auto"/>
        <w:ind w:firstLine="567"/>
        <w:jc w:val="both"/>
        <w:rPr>
          <w:rFonts w:ascii="Times New Roman" w:eastAsia="Arial" w:hAnsi="Times New Roman" w:cs="Times New Roman"/>
          <w:color w:val="000000" w:themeColor="text1"/>
          <w:sz w:val="24"/>
          <w:szCs w:val="24"/>
          <w:lang w:eastAsia="ru-RU" w:bidi="en-US"/>
        </w:rPr>
      </w:pPr>
      <w:r w:rsidRPr="00A738E3">
        <w:rPr>
          <w:rFonts w:ascii="Times New Roman" w:eastAsia="Arial" w:hAnsi="Times New Roman" w:cs="Times New Roman"/>
          <w:color w:val="000000" w:themeColor="text1"/>
          <w:sz w:val="24"/>
          <w:szCs w:val="24"/>
          <w:lang w:eastAsia="ru-RU" w:bidi="en-US"/>
        </w:rPr>
        <w:t>Товариство здійснює перевезення вантажів та пасажирів за державними регульованими цінами, деякі послуги, пов’язані з перевезеннями, надаються за ринковими цінами.</w:t>
      </w:r>
    </w:p>
    <w:p w:rsidR="0017703B" w:rsidRDefault="0017703B" w:rsidP="00A738E3">
      <w:pPr>
        <w:spacing w:after="0" w:line="240" w:lineRule="auto"/>
        <w:ind w:firstLine="567"/>
        <w:jc w:val="both"/>
        <w:rPr>
          <w:rFonts w:ascii="Times New Roman" w:eastAsia="Arial" w:hAnsi="Times New Roman" w:cs="Times New Roman"/>
          <w:color w:val="000000" w:themeColor="text1"/>
          <w:sz w:val="24"/>
          <w:szCs w:val="24"/>
          <w:lang w:eastAsia="ru-RU" w:bidi="en-US"/>
        </w:rPr>
      </w:pPr>
      <w:r w:rsidRPr="00A738E3">
        <w:rPr>
          <w:rFonts w:ascii="Times New Roman" w:eastAsia="Arial" w:hAnsi="Times New Roman" w:cs="Times New Roman"/>
          <w:color w:val="000000" w:themeColor="text1"/>
          <w:sz w:val="24"/>
          <w:szCs w:val="24"/>
          <w:lang w:eastAsia="ru-RU" w:bidi="en-US"/>
        </w:rPr>
        <w:t>Моделювання результатів діяльності АТ «Укрзалізниця» здійснювалось на підставі інформації Товариства щодо очікувань на 2021 – 2024 роки.</w:t>
      </w:r>
    </w:p>
    <w:p w:rsidR="0017703B" w:rsidRPr="00A738E3" w:rsidRDefault="0017703B" w:rsidP="00A738E3">
      <w:pPr>
        <w:spacing w:before="120" w:after="120" w:line="240" w:lineRule="auto"/>
        <w:ind w:firstLine="567"/>
        <w:jc w:val="center"/>
        <w:rPr>
          <w:rFonts w:ascii="Times New Roman" w:hAnsi="Times New Roman" w:cs="Times New Roman"/>
          <w:b/>
          <w:i/>
          <w:color w:val="000000" w:themeColor="text1"/>
          <w:lang w:eastAsia="ru-RU"/>
        </w:rPr>
      </w:pPr>
      <w:r w:rsidRPr="00A738E3">
        <w:rPr>
          <w:rFonts w:ascii="Times New Roman" w:hAnsi="Times New Roman" w:cs="Times New Roman"/>
          <w:b/>
          <w:i/>
        </w:rPr>
        <w:t>Основні припущення для базового та песимістичного сценаріїв</w:t>
      </w:r>
    </w:p>
    <w:tbl>
      <w:tblPr>
        <w:tblStyle w:val="a3"/>
        <w:tblW w:w="0" w:type="auto"/>
        <w:tblLook w:val="04A0" w:firstRow="1" w:lastRow="0" w:firstColumn="1" w:lastColumn="0" w:noHBand="0" w:noVBand="1"/>
      </w:tblPr>
      <w:tblGrid>
        <w:gridCol w:w="4955"/>
        <w:gridCol w:w="4956"/>
      </w:tblGrid>
      <w:tr w:rsidR="0017703B" w:rsidRPr="00A738E3" w:rsidTr="00C4052A">
        <w:tc>
          <w:tcPr>
            <w:tcW w:w="4955" w:type="dxa"/>
            <w:shd w:val="clear" w:color="auto" w:fill="FFC000"/>
          </w:tcPr>
          <w:p w:rsidR="0017703B" w:rsidRPr="00A738E3" w:rsidRDefault="0017703B" w:rsidP="00C4052A">
            <w:pPr>
              <w:jc w:val="center"/>
              <w:rPr>
                <w:rFonts w:ascii="Times New Roman" w:hAnsi="Times New Roman" w:cs="Times New Roman"/>
                <w:noProof/>
                <w:color w:val="000000" w:themeColor="text1"/>
                <w:sz w:val="20"/>
              </w:rPr>
            </w:pPr>
            <w:r w:rsidRPr="00A738E3">
              <w:rPr>
                <w:rFonts w:ascii="Times New Roman" w:hAnsi="Times New Roman" w:cs="Times New Roman"/>
                <w:b/>
                <w:i/>
                <w:sz w:val="20"/>
              </w:rPr>
              <w:t>Базовий</w:t>
            </w:r>
          </w:p>
        </w:tc>
        <w:tc>
          <w:tcPr>
            <w:tcW w:w="4956" w:type="dxa"/>
            <w:shd w:val="clear" w:color="auto" w:fill="BFBFBF" w:themeFill="background1" w:themeFillShade="BF"/>
          </w:tcPr>
          <w:p w:rsidR="0017703B" w:rsidRPr="00A738E3" w:rsidRDefault="0017703B" w:rsidP="00C4052A">
            <w:pPr>
              <w:jc w:val="center"/>
              <w:rPr>
                <w:rFonts w:ascii="Times New Roman" w:hAnsi="Times New Roman" w:cs="Times New Roman"/>
                <w:noProof/>
                <w:color w:val="000000" w:themeColor="text1"/>
                <w:sz w:val="20"/>
              </w:rPr>
            </w:pPr>
            <w:r w:rsidRPr="00A738E3">
              <w:rPr>
                <w:rFonts w:ascii="Times New Roman" w:hAnsi="Times New Roman" w:cs="Times New Roman"/>
                <w:b/>
                <w:i/>
                <w:sz w:val="20"/>
              </w:rPr>
              <w:t>Песимістичний</w:t>
            </w:r>
          </w:p>
        </w:tc>
      </w:tr>
      <w:tr w:rsidR="0017703B" w:rsidRPr="00A738E3" w:rsidTr="00C4052A">
        <w:tc>
          <w:tcPr>
            <w:tcW w:w="4955" w:type="dxa"/>
          </w:tcPr>
          <w:p w:rsidR="0017703B" w:rsidRPr="00A738E3" w:rsidRDefault="0017703B" w:rsidP="00C4052A">
            <w:pPr>
              <w:jc w:val="both"/>
              <w:rPr>
                <w:rFonts w:ascii="Times New Roman" w:hAnsi="Times New Roman" w:cs="Times New Roman"/>
                <w:b/>
                <w:i/>
              </w:rPr>
            </w:pPr>
            <w:r w:rsidRPr="00A738E3">
              <w:rPr>
                <w:rFonts w:ascii="Times New Roman" w:hAnsi="Times New Roman" w:cs="Times New Roman"/>
                <w:sz w:val="20"/>
              </w:rPr>
              <w:t>Прогноз щодо обсягів та цін реалізації послуг в 2021 – 2024 роках враховано відповідно до очікувань Товариства.</w:t>
            </w:r>
          </w:p>
        </w:tc>
        <w:tc>
          <w:tcPr>
            <w:tcW w:w="4956" w:type="dxa"/>
          </w:tcPr>
          <w:p w:rsidR="0017703B" w:rsidRPr="00A738E3" w:rsidRDefault="0017703B" w:rsidP="00C4052A">
            <w:pPr>
              <w:jc w:val="both"/>
              <w:rPr>
                <w:rFonts w:ascii="Times New Roman" w:hAnsi="Times New Roman" w:cs="Times New Roman"/>
                <w:sz w:val="20"/>
              </w:rPr>
            </w:pPr>
            <w:r w:rsidRPr="00A738E3">
              <w:rPr>
                <w:rFonts w:ascii="Times New Roman" w:hAnsi="Times New Roman" w:cs="Times New Roman"/>
                <w:sz w:val="20"/>
              </w:rPr>
              <w:t>Прогноз щодо обсягів у 2021 році та цін реалізації послуг в 2021 – 2024 роках враховано відповідно до очікувань Товариства.</w:t>
            </w:r>
          </w:p>
          <w:p w:rsidR="0017703B" w:rsidRPr="00A738E3" w:rsidRDefault="0017703B" w:rsidP="00C4052A">
            <w:pPr>
              <w:jc w:val="both"/>
              <w:rPr>
                <w:rFonts w:ascii="Times New Roman" w:hAnsi="Times New Roman" w:cs="Times New Roman"/>
                <w:sz w:val="20"/>
              </w:rPr>
            </w:pPr>
            <w:r w:rsidRPr="00A738E3">
              <w:rPr>
                <w:rFonts w:ascii="Times New Roman" w:hAnsi="Times New Roman" w:cs="Times New Roman"/>
                <w:sz w:val="20"/>
              </w:rPr>
              <w:t>Щодо обсягів реалізації продукції (товарів, робіт, послуг) в 2022 – 2024 роках враховано припущення про їх зростання на рівні показників альтернативного сценарію розвитку прогнозу, схваленого постановою Кабінету Міністрів України від 31.05.2021 № 586.</w:t>
            </w:r>
          </w:p>
        </w:tc>
      </w:tr>
      <w:tr w:rsidR="0017703B" w:rsidRPr="00A738E3" w:rsidTr="00C4052A">
        <w:tc>
          <w:tcPr>
            <w:tcW w:w="4955" w:type="dxa"/>
          </w:tcPr>
          <w:p w:rsidR="0017703B" w:rsidRPr="00A738E3" w:rsidRDefault="0017703B" w:rsidP="00C4052A">
            <w:pPr>
              <w:jc w:val="both"/>
              <w:rPr>
                <w:rFonts w:ascii="Times New Roman" w:hAnsi="Times New Roman" w:cs="Times New Roman"/>
                <w:sz w:val="20"/>
              </w:rPr>
            </w:pPr>
            <w:r w:rsidRPr="00A738E3">
              <w:rPr>
                <w:rFonts w:ascii="Times New Roman" w:hAnsi="Times New Roman" w:cs="Times New Roman"/>
                <w:sz w:val="20"/>
              </w:rPr>
              <w:t>Очікування щодо зростання операційних витрат в 2021 – 2024 роках враховано відповідно до очікувань Товариства.</w:t>
            </w:r>
          </w:p>
        </w:tc>
        <w:tc>
          <w:tcPr>
            <w:tcW w:w="4956" w:type="dxa"/>
          </w:tcPr>
          <w:p w:rsidR="0017703B" w:rsidRPr="00A738E3" w:rsidRDefault="0017703B" w:rsidP="00C4052A">
            <w:pPr>
              <w:jc w:val="both"/>
              <w:rPr>
                <w:rFonts w:ascii="Times New Roman" w:hAnsi="Times New Roman" w:cs="Times New Roman"/>
                <w:sz w:val="20"/>
              </w:rPr>
            </w:pPr>
            <w:r w:rsidRPr="00A738E3">
              <w:rPr>
                <w:rFonts w:ascii="Times New Roman" w:hAnsi="Times New Roman" w:cs="Times New Roman"/>
                <w:sz w:val="20"/>
              </w:rPr>
              <w:t>Очікування щодо зростання операційних витрат враховано відповідно до зростання споживчих цін та цін виробників за альтернативним сценарієм розвитку прогнозу, схваленого постановою Кабінету Міністрів України від</w:t>
            </w:r>
            <w:r w:rsidR="003042A4">
              <w:rPr>
                <w:rFonts w:ascii="Times New Roman" w:hAnsi="Times New Roman" w:cs="Times New Roman"/>
                <w:sz w:val="20"/>
              </w:rPr>
              <w:t xml:space="preserve"> 31.05.2021 № 586.</w:t>
            </w:r>
            <w:bookmarkStart w:id="5" w:name="_GoBack"/>
            <w:bookmarkEnd w:id="5"/>
            <w:r w:rsidRPr="00A738E3">
              <w:rPr>
                <w:rFonts w:ascii="Times New Roman" w:hAnsi="Times New Roman" w:cs="Times New Roman"/>
                <w:sz w:val="20"/>
              </w:rPr>
              <w:t xml:space="preserve"> </w:t>
            </w:r>
          </w:p>
        </w:tc>
      </w:tr>
      <w:tr w:rsidR="0017703B" w:rsidRPr="00A738E3" w:rsidTr="00C4052A">
        <w:tc>
          <w:tcPr>
            <w:tcW w:w="4955" w:type="dxa"/>
          </w:tcPr>
          <w:p w:rsidR="0017703B" w:rsidRPr="00A738E3" w:rsidRDefault="0017703B" w:rsidP="00C4052A">
            <w:pPr>
              <w:jc w:val="both"/>
              <w:rPr>
                <w:rFonts w:ascii="Times New Roman" w:hAnsi="Times New Roman" w:cs="Times New Roman"/>
                <w:sz w:val="20"/>
              </w:rPr>
            </w:pPr>
            <w:r w:rsidRPr="00A738E3">
              <w:rPr>
                <w:rFonts w:ascii="Times New Roman" w:hAnsi="Times New Roman" w:cs="Times New Roman"/>
                <w:sz w:val="20"/>
              </w:rPr>
              <w:t>Припущення щодо зміни валютного курсу враховано відповідно до прогнозу, схваленого постановою Кабінету Міністрів України від 31.05.2021 № 586.</w:t>
            </w:r>
          </w:p>
        </w:tc>
        <w:tc>
          <w:tcPr>
            <w:tcW w:w="4956" w:type="dxa"/>
          </w:tcPr>
          <w:p w:rsidR="0017703B" w:rsidRPr="00A738E3" w:rsidRDefault="0017703B" w:rsidP="00C4052A">
            <w:pPr>
              <w:jc w:val="both"/>
              <w:rPr>
                <w:rFonts w:ascii="Times New Roman" w:hAnsi="Times New Roman" w:cs="Times New Roman"/>
                <w:sz w:val="20"/>
              </w:rPr>
            </w:pPr>
            <w:r w:rsidRPr="00A738E3">
              <w:rPr>
                <w:rFonts w:ascii="Times New Roman" w:hAnsi="Times New Roman" w:cs="Times New Roman"/>
                <w:sz w:val="20"/>
              </w:rPr>
              <w:t>Припущення щодо зміни валютного курсу враховано на рівні +5% щороку порівняно із базовим сценарієм.</w:t>
            </w:r>
          </w:p>
        </w:tc>
      </w:tr>
    </w:tbl>
    <w:p w:rsidR="0017703B" w:rsidRPr="00A738E3" w:rsidRDefault="0017703B" w:rsidP="00C20695">
      <w:pPr>
        <w:pStyle w:val="aff6"/>
        <w:spacing w:before="240" w:after="0"/>
        <w:jc w:val="center"/>
        <w:rPr>
          <w:rFonts w:ascii="Times New Roman" w:hAnsi="Times New Roman" w:cs="Times New Roman"/>
          <w:b/>
          <w:color w:val="auto"/>
          <w:sz w:val="22"/>
        </w:rPr>
      </w:pPr>
      <w:r w:rsidRPr="00A738E3">
        <w:rPr>
          <w:rFonts w:ascii="Times New Roman" w:hAnsi="Times New Roman" w:cs="Times New Roman"/>
          <w:b/>
          <w:color w:val="auto"/>
          <w:sz w:val="22"/>
        </w:rPr>
        <w:t>Чистий прибуток (збиток) АТ «Укрзалізниця»</w:t>
      </w:r>
    </w:p>
    <w:p w:rsidR="0017703B" w:rsidRPr="00A738E3" w:rsidRDefault="0017703B" w:rsidP="00A738E3">
      <w:pPr>
        <w:spacing w:after="0" w:line="240" w:lineRule="auto"/>
        <w:ind w:right="284"/>
        <w:jc w:val="right"/>
        <w:rPr>
          <w:rFonts w:ascii="Times New Roman" w:hAnsi="Times New Roman" w:cs="Times New Roman"/>
          <w:i/>
          <w:sz w:val="20"/>
        </w:rPr>
      </w:pPr>
      <w:r w:rsidRPr="00A738E3">
        <w:rPr>
          <w:rFonts w:ascii="Times New Roman" w:hAnsi="Times New Roman" w:cs="Times New Roman"/>
          <w:i/>
          <w:sz w:val="20"/>
        </w:rPr>
        <w:t>(млн гривень)</w:t>
      </w: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7"/>
        <w:gridCol w:w="786"/>
        <w:gridCol w:w="849"/>
        <w:gridCol w:w="1148"/>
        <w:gridCol w:w="829"/>
        <w:gridCol w:w="1020"/>
        <w:gridCol w:w="1020"/>
        <w:gridCol w:w="1020"/>
      </w:tblGrid>
      <w:tr w:rsidR="0017703B" w:rsidRPr="00A738E3" w:rsidTr="00A738E3">
        <w:trPr>
          <w:trHeight w:val="264"/>
        </w:trPr>
        <w:tc>
          <w:tcPr>
            <w:tcW w:w="0" w:type="auto"/>
            <w:shd w:val="clear" w:color="000000" w:fill="FFFFFF"/>
            <w:noWrap/>
            <w:vAlign w:val="bottom"/>
            <w:hideMark/>
          </w:tcPr>
          <w:p w:rsidR="0017703B" w:rsidRPr="00A738E3" w:rsidRDefault="0017703B" w:rsidP="00A738E3">
            <w:pPr>
              <w:spacing w:after="0" w:line="240" w:lineRule="auto"/>
              <w:rPr>
                <w:rFonts w:ascii="Times New Roman" w:hAnsi="Times New Roman" w:cs="Times New Roman"/>
                <w:color w:val="000000"/>
                <w:sz w:val="20"/>
                <w:szCs w:val="20"/>
              </w:rPr>
            </w:pPr>
          </w:p>
        </w:tc>
        <w:tc>
          <w:tcPr>
            <w:tcW w:w="0" w:type="auto"/>
            <w:shd w:val="clear" w:color="000000" w:fill="FFFFFF"/>
            <w:noWrap/>
            <w:vAlign w:val="bottom"/>
            <w:hideMark/>
          </w:tcPr>
          <w:p w:rsidR="0017703B" w:rsidRPr="00D42472" w:rsidRDefault="0017703B" w:rsidP="00A738E3">
            <w:pPr>
              <w:spacing w:after="0" w:line="240" w:lineRule="auto"/>
              <w:jc w:val="center"/>
              <w:rPr>
                <w:rFonts w:ascii="Times New Roman" w:hAnsi="Times New Roman" w:cs="Times New Roman"/>
                <w:b/>
                <w:color w:val="000000"/>
                <w:sz w:val="20"/>
                <w:szCs w:val="20"/>
              </w:rPr>
            </w:pPr>
            <w:r w:rsidRPr="00D42472">
              <w:rPr>
                <w:rFonts w:ascii="Times New Roman" w:hAnsi="Times New Roman" w:cs="Times New Roman"/>
                <w:b/>
                <w:color w:val="000000"/>
                <w:sz w:val="20"/>
                <w:szCs w:val="20"/>
              </w:rPr>
              <w:t>2018</w:t>
            </w:r>
          </w:p>
        </w:tc>
        <w:tc>
          <w:tcPr>
            <w:tcW w:w="0" w:type="auto"/>
            <w:shd w:val="clear" w:color="000000" w:fill="FFFFFF"/>
            <w:noWrap/>
            <w:vAlign w:val="bottom"/>
            <w:hideMark/>
          </w:tcPr>
          <w:p w:rsidR="0017703B" w:rsidRPr="00D42472" w:rsidRDefault="0017703B" w:rsidP="00A738E3">
            <w:pPr>
              <w:spacing w:after="0" w:line="240" w:lineRule="auto"/>
              <w:jc w:val="center"/>
              <w:rPr>
                <w:rFonts w:ascii="Times New Roman" w:hAnsi="Times New Roman" w:cs="Times New Roman"/>
                <w:b/>
                <w:color w:val="000000"/>
                <w:sz w:val="20"/>
                <w:szCs w:val="20"/>
              </w:rPr>
            </w:pPr>
            <w:r w:rsidRPr="00D42472">
              <w:rPr>
                <w:rFonts w:ascii="Times New Roman" w:hAnsi="Times New Roman" w:cs="Times New Roman"/>
                <w:b/>
                <w:color w:val="000000"/>
                <w:sz w:val="20"/>
                <w:szCs w:val="20"/>
              </w:rPr>
              <w:t>2019</w:t>
            </w:r>
          </w:p>
        </w:tc>
        <w:tc>
          <w:tcPr>
            <w:tcW w:w="0" w:type="auto"/>
            <w:shd w:val="clear" w:color="000000" w:fill="FFFFFF"/>
            <w:noWrap/>
            <w:vAlign w:val="bottom"/>
            <w:hideMark/>
          </w:tcPr>
          <w:p w:rsidR="0017703B" w:rsidRPr="00D42472" w:rsidRDefault="0017703B" w:rsidP="00A738E3">
            <w:pPr>
              <w:spacing w:after="0" w:line="240" w:lineRule="auto"/>
              <w:jc w:val="center"/>
              <w:rPr>
                <w:rFonts w:ascii="Times New Roman" w:hAnsi="Times New Roman" w:cs="Times New Roman"/>
                <w:b/>
                <w:color w:val="000000"/>
                <w:sz w:val="20"/>
                <w:szCs w:val="20"/>
              </w:rPr>
            </w:pPr>
            <w:r w:rsidRPr="00D42472">
              <w:rPr>
                <w:rFonts w:ascii="Times New Roman" w:hAnsi="Times New Roman" w:cs="Times New Roman"/>
                <w:b/>
                <w:color w:val="000000"/>
                <w:sz w:val="20"/>
                <w:szCs w:val="20"/>
              </w:rPr>
              <w:t>2020</w:t>
            </w:r>
          </w:p>
        </w:tc>
        <w:tc>
          <w:tcPr>
            <w:tcW w:w="0" w:type="auto"/>
            <w:shd w:val="clear" w:color="000000" w:fill="FFFFFF"/>
            <w:noWrap/>
            <w:vAlign w:val="bottom"/>
            <w:hideMark/>
          </w:tcPr>
          <w:p w:rsidR="0017703B" w:rsidRPr="00D42472" w:rsidRDefault="0017703B" w:rsidP="00A738E3">
            <w:pPr>
              <w:spacing w:after="0" w:line="240" w:lineRule="auto"/>
              <w:jc w:val="center"/>
              <w:rPr>
                <w:rFonts w:ascii="Times New Roman" w:hAnsi="Times New Roman" w:cs="Times New Roman"/>
                <w:b/>
                <w:color w:val="000000"/>
                <w:sz w:val="20"/>
                <w:szCs w:val="20"/>
              </w:rPr>
            </w:pPr>
            <w:r w:rsidRPr="00D42472">
              <w:rPr>
                <w:rFonts w:ascii="Times New Roman" w:hAnsi="Times New Roman" w:cs="Times New Roman"/>
                <w:b/>
                <w:color w:val="000000"/>
                <w:sz w:val="20"/>
                <w:szCs w:val="20"/>
              </w:rPr>
              <w:t>2021</w:t>
            </w:r>
          </w:p>
        </w:tc>
        <w:tc>
          <w:tcPr>
            <w:tcW w:w="0" w:type="auto"/>
            <w:shd w:val="clear" w:color="000000" w:fill="FFFFFF"/>
            <w:noWrap/>
            <w:vAlign w:val="bottom"/>
            <w:hideMark/>
          </w:tcPr>
          <w:p w:rsidR="0017703B" w:rsidRPr="00D42472" w:rsidRDefault="0017703B" w:rsidP="00A738E3">
            <w:pPr>
              <w:spacing w:after="0" w:line="240" w:lineRule="auto"/>
              <w:jc w:val="center"/>
              <w:rPr>
                <w:rFonts w:ascii="Times New Roman" w:hAnsi="Times New Roman" w:cs="Times New Roman"/>
                <w:b/>
                <w:color w:val="000000"/>
                <w:sz w:val="20"/>
                <w:szCs w:val="20"/>
              </w:rPr>
            </w:pPr>
            <w:r w:rsidRPr="00D42472">
              <w:rPr>
                <w:rFonts w:ascii="Times New Roman" w:hAnsi="Times New Roman" w:cs="Times New Roman"/>
                <w:b/>
                <w:color w:val="000000"/>
                <w:sz w:val="20"/>
                <w:szCs w:val="20"/>
              </w:rPr>
              <w:t>2022</w:t>
            </w:r>
          </w:p>
        </w:tc>
        <w:tc>
          <w:tcPr>
            <w:tcW w:w="0" w:type="auto"/>
            <w:shd w:val="clear" w:color="000000" w:fill="FFFFFF"/>
            <w:noWrap/>
            <w:vAlign w:val="bottom"/>
            <w:hideMark/>
          </w:tcPr>
          <w:p w:rsidR="0017703B" w:rsidRPr="00D42472" w:rsidRDefault="0017703B" w:rsidP="00A738E3">
            <w:pPr>
              <w:spacing w:after="0" w:line="240" w:lineRule="auto"/>
              <w:jc w:val="center"/>
              <w:rPr>
                <w:rFonts w:ascii="Times New Roman" w:hAnsi="Times New Roman" w:cs="Times New Roman"/>
                <w:b/>
                <w:color w:val="000000"/>
                <w:sz w:val="20"/>
                <w:szCs w:val="20"/>
              </w:rPr>
            </w:pPr>
            <w:r w:rsidRPr="00D42472">
              <w:rPr>
                <w:rFonts w:ascii="Times New Roman" w:hAnsi="Times New Roman" w:cs="Times New Roman"/>
                <w:b/>
                <w:color w:val="000000"/>
                <w:sz w:val="20"/>
                <w:szCs w:val="20"/>
              </w:rPr>
              <w:t>2023</w:t>
            </w:r>
          </w:p>
        </w:tc>
        <w:tc>
          <w:tcPr>
            <w:tcW w:w="0" w:type="auto"/>
            <w:shd w:val="clear" w:color="000000" w:fill="FFFFFF"/>
            <w:noWrap/>
            <w:vAlign w:val="bottom"/>
            <w:hideMark/>
          </w:tcPr>
          <w:p w:rsidR="0017703B" w:rsidRPr="00D42472" w:rsidRDefault="0017703B" w:rsidP="00A738E3">
            <w:pPr>
              <w:spacing w:after="0" w:line="240" w:lineRule="auto"/>
              <w:jc w:val="center"/>
              <w:rPr>
                <w:rFonts w:ascii="Times New Roman" w:hAnsi="Times New Roman" w:cs="Times New Roman"/>
                <w:b/>
                <w:color w:val="000000"/>
                <w:sz w:val="20"/>
                <w:szCs w:val="20"/>
              </w:rPr>
            </w:pPr>
            <w:r w:rsidRPr="00D42472">
              <w:rPr>
                <w:rFonts w:ascii="Times New Roman" w:hAnsi="Times New Roman" w:cs="Times New Roman"/>
                <w:b/>
                <w:color w:val="000000"/>
                <w:sz w:val="20"/>
                <w:szCs w:val="20"/>
              </w:rPr>
              <w:t>2024</w:t>
            </w:r>
          </w:p>
        </w:tc>
      </w:tr>
      <w:tr w:rsidR="0017703B" w:rsidRPr="00A738E3" w:rsidTr="00A738E3">
        <w:trPr>
          <w:trHeight w:val="264"/>
        </w:trPr>
        <w:tc>
          <w:tcPr>
            <w:tcW w:w="0" w:type="auto"/>
            <w:shd w:val="clear" w:color="000000" w:fill="FFFFFF"/>
            <w:noWrap/>
            <w:vAlign w:val="bottom"/>
            <w:hideMark/>
          </w:tcPr>
          <w:p w:rsidR="0017703B" w:rsidRPr="00A738E3" w:rsidRDefault="0017703B" w:rsidP="00A738E3">
            <w:pPr>
              <w:spacing w:after="0" w:line="240" w:lineRule="auto"/>
              <w:rPr>
                <w:rFonts w:ascii="Times New Roman" w:hAnsi="Times New Roman" w:cs="Times New Roman"/>
                <w:color w:val="000000"/>
                <w:sz w:val="20"/>
                <w:szCs w:val="20"/>
              </w:rPr>
            </w:pPr>
            <w:r w:rsidRPr="00A738E3">
              <w:rPr>
                <w:rFonts w:ascii="Times New Roman" w:hAnsi="Times New Roman" w:cs="Times New Roman"/>
                <w:color w:val="000000"/>
                <w:sz w:val="20"/>
                <w:szCs w:val="20"/>
              </w:rPr>
              <w:t>Базовий сценарій</w:t>
            </w:r>
          </w:p>
        </w:tc>
        <w:tc>
          <w:tcPr>
            <w:tcW w:w="0" w:type="auto"/>
            <w:shd w:val="clear" w:color="000000" w:fill="FFFFFF"/>
            <w:noWrap/>
            <w:vAlign w:val="bottom"/>
            <w:hideMark/>
          </w:tcPr>
          <w:p w:rsidR="0017703B" w:rsidRPr="00A738E3" w:rsidRDefault="0017703B" w:rsidP="00A738E3">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204</w:t>
            </w:r>
          </w:p>
        </w:tc>
        <w:tc>
          <w:tcPr>
            <w:tcW w:w="0" w:type="auto"/>
            <w:shd w:val="clear" w:color="000000" w:fill="FFFFFF"/>
            <w:noWrap/>
            <w:vAlign w:val="bottom"/>
            <w:hideMark/>
          </w:tcPr>
          <w:p w:rsidR="0017703B" w:rsidRPr="00A738E3" w:rsidRDefault="0017703B" w:rsidP="00A738E3">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2 988</w:t>
            </w:r>
          </w:p>
        </w:tc>
        <w:tc>
          <w:tcPr>
            <w:tcW w:w="0" w:type="auto"/>
            <w:shd w:val="clear" w:color="000000" w:fill="FFFFFF"/>
            <w:noWrap/>
            <w:vAlign w:val="bottom"/>
            <w:hideMark/>
          </w:tcPr>
          <w:p w:rsidR="0017703B" w:rsidRPr="00A738E3" w:rsidRDefault="0017703B" w:rsidP="00A738E3">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(11 900)</w:t>
            </w:r>
          </w:p>
        </w:tc>
        <w:tc>
          <w:tcPr>
            <w:tcW w:w="0" w:type="auto"/>
            <w:shd w:val="clear" w:color="000000" w:fill="FFFFFF"/>
            <w:noWrap/>
            <w:vAlign w:val="bottom"/>
            <w:hideMark/>
          </w:tcPr>
          <w:p w:rsidR="0017703B" w:rsidRPr="00A738E3" w:rsidRDefault="0017703B" w:rsidP="00A738E3">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(725)</w:t>
            </w:r>
          </w:p>
        </w:tc>
        <w:tc>
          <w:tcPr>
            <w:tcW w:w="0" w:type="auto"/>
            <w:shd w:val="clear" w:color="000000" w:fill="FFFFFF"/>
            <w:noWrap/>
            <w:vAlign w:val="bottom"/>
            <w:hideMark/>
          </w:tcPr>
          <w:p w:rsidR="0017703B" w:rsidRPr="00A738E3" w:rsidRDefault="0017703B" w:rsidP="00A738E3">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(967)</w:t>
            </w:r>
          </w:p>
        </w:tc>
        <w:tc>
          <w:tcPr>
            <w:tcW w:w="0" w:type="auto"/>
            <w:shd w:val="clear" w:color="000000" w:fill="FFFFFF"/>
            <w:noWrap/>
            <w:vAlign w:val="bottom"/>
            <w:hideMark/>
          </w:tcPr>
          <w:p w:rsidR="0017703B" w:rsidRPr="00A738E3" w:rsidRDefault="0017703B" w:rsidP="00A738E3">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(2 623)</w:t>
            </w:r>
          </w:p>
        </w:tc>
        <w:tc>
          <w:tcPr>
            <w:tcW w:w="0" w:type="auto"/>
            <w:shd w:val="clear" w:color="000000" w:fill="FFFFFF"/>
            <w:noWrap/>
            <w:vAlign w:val="bottom"/>
            <w:hideMark/>
          </w:tcPr>
          <w:p w:rsidR="0017703B" w:rsidRPr="00A738E3" w:rsidRDefault="0017703B" w:rsidP="00A738E3">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(724)</w:t>
            </w:r>
          </w:p>
        </w:tc>
      </w:tr>
      <w:tr w:rsidR="0017703B" w:rsidRPr="00A738E3" w:rsidTr="00A738E3">
        <w:trPr>
          <w:trHeight w:val="264"/>
        </w:trPr>
        <w:tc>
          <w:tcPr>
            <w:tcW w:w="0" w:type="auto"/>
            <w:shd w:val="clear" w:color="000000" w:fill="FFFFFF"/>
            <w:noWrap/>
            <w:vAlign w:val="bottom"/>
            <w:hideMark/>
          </w:tcPr>
          <w:p w:rsidR="0017703B" w:rsidRPr="00A738E3" w:rsidRDefault="0017703B" w:rsidP="00A738E3">
            <w:pPr>
              <w:spacing w:after="0" w:line="240" w:lineRule="auto"/>
              <w:rPr>
                <w:rFonts w:ascii="Times New Roman" w:hAnsi="Times New Roman" w:cs="Times New Roman"/>
                <w:color w:val="000000"/>
                <w:sz w:val="20"/>
                <w:szCs w:val="20"/>
              </w:rPr>
            </w:pPr>
            <w:r w:rsidRPr="00A738E3">
              <w:rPr>
                <w:rFonts w:ascii="Times New Roman" w:hAnsi="Times New Roman" w:cs="Times New Roman"/>
                <w:color w:val="000000"/>
                <w:sz w:val="20"/>
                <w:szCs w:val="20"/>
              </w:rPr>
              <w:t>Песимістичний сценарій</w:t>
            </w:r>
          </w:p>
        </w:tc>
        <w:tc>
          <w:tcPr>
            <w:tcW w:w="0" w:type="auto"/>
            <w:shd w:val="clear" w:color="000000" w:fill="FFFFFF"/>
            <w:noWrap/>
            <w:vAlign w:val="bottom"/>
            <w:hideMark/>
          </w:tcPr>
          <w:p w:rsidR="0017703B" w:rsidRPr="00A738E3" w:rsidRDefault="0017703B" w:rsidP="00A738E3">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204</w:t>
            </w:r>
          </w:p>
        </w:tc>
        <w:tc>
          <w:tcPr>
            <w:tcW w:w="0" w:type="auto"/>
            <w:shd w:val="clear" w:color="000000" w:fill="FFFFFF"/>
            <w:noWrap/>
            <w:vAlign w:val="bottom"/>
            <w:hideMark/>
          </w:tcPr>
          <w:p w:rsidR="0017703B" w:rsidRPr="00A738E3" w:rsidRDefault="0017703B" w:rsidP="00A738E3">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2 988</w:t>
            </w:r>
          </w:p>
        </w:tc>
        <w:tc>
          <w:tcPr>
            <w:tcW w:w="0" w:type="auto"/>
            <w:shd w:val="clear" w:color="000000" w:fill="FFFFFF"/>
            <w:noWrap/>
            <w:vAlign w:val="bottom"/>
            <w:hideMark/>
          </w:tcPr>
          <w:p w:rsidR="0017703B" w:rsidRPr="00A738E3" w:rsidRDefault="0017703B" w:rsidP="00A738E3">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(11 900)</w:t>
            </w:r>
          </w:p>
        </w:tc>
        <w:tc>
          <w:tcPr>
            <w:tcW w:w="0" w:type="auto"/>
            <w:shd w:val="clear" w:color="000000" w:fill="FFFFFF"/>
            <w:noWrap/>
            <w:vAlign w:val="bottom"/>
            <w:hideMark/>
          </w:tcPr>
          <w:p w:rsidR="0017703B" w:rsidRPr="00A738E3" w:rsidRDefault="0017703B" w:rsidP="00A738E3">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(852)</w:t>
            </w:r>
          </w:p>
        </w:tc>
        <w:tc>
          <w:tcPr>
            <w:tcW w:w="0" w:type="auto"/>
            <w:shd w:val="clear" w:color="000000" w:fill="FFFFFF"/>
            <w:noWrap/>
            <w:vAlign w:val="bottom"/>
            <w:hideMark/>
          </w:tcPr>
          <w:p w:rsidR="0017703B" w:rsidRPr="00A738E3" w:rsidRDefault="0017703B" w:rsidP="00A738E3">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(1 447)</w:t>
            </w:r>
          </w:p>
        </w:tc>
        <w:tc>
          <w:tcPr>
            <w:tcW w:w="0" w:type="auto"/>
            <w:shd w:val="clear" w:color="000000" w:fill="FFFFFF"/>
            <w:noWrap/>
            <w:vAlign w:val="bottom"/>
            <w:hideMark/>
          </w:tcPr>
          <w:p w:rsidR="0017703B" w:rsidRPr="00A738E3" w:rsidRDefault="0017703B" w:rsidP="00A738E3">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(2 842)</w:t>
            </w:r>
          </w:p>
        </w:tc>
        <w:tc>
          <w:tcPr>
            <w:tcW w:w="0" w:type="auto"/>
            <w:shd w:val="clear" w:color="000000" w:fill="FFFFFF"/>
            <w:noWrap/>
            <w:vAlign w:val="bottom"/>
            <w:hideMark/>
          </w:tcPr>
          <w:p w:rsidR="0017703B" w:rsidRPr="00A738E3" w:rsidRDefault="0017703B" w:rsidP="00A738E3">
            <w:pPr>
              <w:spacing w:after="0" w:line="240" w:lineRule="auto"/>
              <w:jc w:val="right"/>
              <w:rPr>
                <w:rFonts w:ascii="Times New Roman" w:hAnsi="Times New Roman" w:cs="Times New Roman"/>
                <w:color w:val="000000"/>
                <w:sz w:val="20"/>
                <w:szCs w:val="20"/>
              </w:rPr>
            </w:pPr>
            <w:r w:rsidRPr="00A738E3">
              <w:rPr>
                <w:rFonts w:ascii="Times New Roman" w:hAnsi="Times New Roman" w:cs="Times New Roman"/>
                <w:color w:val="000000"/>
                <w:sz w:val="20"/>
                <w:szCs w:val="20"/>
              </w:rPr>
              <w:t>(2 953)</w:t>
            </w:r>
          </w:p>
        </w:tc>
      </w:tr>
    </w:tbl>
    <w:p w:rsidR="0017703B" w:rsidRDefault="0017703B" w:rsidP="00FF303D">
      <w:pPr>
        <w:pStyle w:val="af1"/>
        <w:spacing w:after="120"/>
        <w:jc w:val="both"/>
        <w:rPr>
          <w:rFonts w:ascii="Times New Roman" w:hAnsi="Times New Roman" w:cs="Times New Roman"/>
          <w:color w:val="000000" w:themeColor="text1"/>
          <w:lang w:val="uk-UA"/>
        </w:rPr>
      </w:pPr>
      <w:r>
        <w:rPr>
          <w:noProof/>
          <w:lang w:val="uk-UA" w:eastAsia="uk-UA" w:bidi="ar-SA"/>
        </w:rPr>
        <w:drawing>
          <wp:inline distT="0" distB="0" distL="0" distR="0" wp14:anchorId="37BBCB8A" wp14:editId="3A7C44E0">
            <wp:extent cx="5516880" cy="2217420"/>
            <wp:effectExtent l="0" t="0" r="7620" b="0"/>
            <wp:docPr id="12" name="Діаграма 12">
              <a:extLst xmlns:a="http://schemas.openxmlformats.org/drawingml/2006/main">
                <a:ext uri="{FF2B5EF4-FFF2-40B4-BE49-F238E27FC236}">
                  <a16:creationId xmlns:a16="http://schemas.microsoft.com/office/drawing/2014/main" id="{00000000-0008-0000-0B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F705BF" w:rsidRDefault="00F705BF" w:rsidP="00FF303D">
      <w:pPr>
        <w:pStyle w:val="af1"/>
        <w:ind w:firstLine="567"/>
        <w:jc w:val="both"/>
        <w:rPr>
          <w:rFonts w:ascii="Times New Roman" w:hAnsi="Times New Roman" w:cs="Times New Roman"/>
          <w:noProof/>
          <w:sz w:val="24"/>
          <w:lang w:val="uk-UA"/>
        </w:rPr>
      </w:pPr>
    </w:p>
    <w:p w:rsidR="0017703B" w:rsidRPr="0053372B" w:rsidRDefault="0017703B" w:rsidP="00FF303D">
      <w:pPr>
        <w:pStyle w:val="af1"/>
        <w:ind w:firstLine="567"/>
        <w:jc w:val="both"/>
        <w:rPr>
          <w:rFonts w:ascii="Times New Roman" w:hAnsi="Times New Roman" w:cs="Times New Roman"/>
          <w:sz w:val="24"/>
          <w:lang w:val="uk-UA"/>
        </w:rPr>
      </w:pPr>
      <w:r w:rsidRPr="0053372B">
        <w:rPr>
          <w:rFonts w:ascii="Times New Roman" w:hAnsi="Times New Roman" w:cs="Times New Roman"/>
          <w:noProof/>
          <w:sz w:val="24"/>
          <w:lang w:val="uk-UA"/>
        </w:rPr>
        <w:t xml:space="preserve">За існуючих умов функціонування </w:t>
      </w:r>
      <w:r w:rsidRPr="0053372B">
        <w:rPr>
          <w:rFonts w:ascii="Times New Roman" w:hAnsi="Times New Roman" w:cs="Times New Roman"/>
          <w:color w:val="000000" w:themeColor="text1"/>
          <w:sz w:val="24"/>
          <w:lang w:val="uk-UA"/>
        </w:rPr>
        <w:t>АТ «Укрзалізниця»</w:t>
      </w:r>
      <w:r w:rsidRPr="0053372B">
        <w:rPr>
          <w:rFonts w:ascii="Times New Roman" w:hAnsi="Times New Roman" w:cs="Times New Roman"/>
          <w:noProof/>
          <w:sz w:val="24"/>
          <w:lang w:val="uk-UA"/>
        </w:rPr>
        <w:t xml:space="preserve"> на ринку залізничних перевезень</w:t>
      </w:r>
      <w:r w:rsidRPr="0053372B">
        <w:rPr>
          <w:rFonts w:ascii="Times New Roman" w:hAnsi="Times New Roman" w:cs="Times New Roman"/>
          <w:sz w:val="24"/>
          <w:lang w:val="uk-UA"/>
        </w:rPr>
        <w:t xml:space="preserve">, за </w:t>
      </w:r>
      <w:r w:rsidRPr="0053372B">
        <w:rPr>
          <w:rFonts w:ascii="Times New Roman" w:hAnsi="Times New Roman" w:cs="Times New Roman"/>
          <w:color w:val="000000" w:themeColor="text1"/>
          <w:sz w:val="24"/>
          <w:lang w:val="uk-UA"/>
        </w:rPr>
        <w:t xml:space="preserve">обома сценаріями </w:t>
      </w:r>
      <w:r w:rsidRPr="0053372B">
        <w:rPr>
          <w:rFonts w:ascii="Times New Roman" w:hAnsi="Times New Roman" w:cs="Times New Roman"/>
          <w:sz w:val="24"/>
          <w:lang w:val="uk-UA"/>
        </w:rPr>
        <w:t>очікується збиткова</w:t>
      </w:r>
      <w:r w:rsidRPr="0053372B">
        <w:rPr>
          <w:rFonts w:ascii="Times New Roman" w:hAnsi="Times New Roman" w:cs="Times New Roman"/>
          <w:noProof/>
          <w:sz w:val="24"/>
          <w:lang w:val="uk-UA"/>
        </w:rPr>
        <w:t xml:space="preserve"> діяльність Товариства </w:t>
      </w:r>
      <w:r w:rsidRPr="0053372B">
        <w:rPr>
          <w:rFonts w:ascii="Times New Roman" w:hAnsi="Times New Roman" w:cs="Times New Roman"/>
          <w:sz w:val="24"/>
          <w:lang w:val="uk-UA"/>
        </w:rPr>
        <w:t xml:space="preserve">у </w:t>
      </w:r>
      <w:r w:rsidRPr="0053372B">
        <w:rPr>
          <w:rFonts w:ascii="Times New Roman" w:hAnsi="Times New Roman" w:cs="Times New Roman"/>
          <w:color w:val="000000" w:themeColor="text1"/>
          <w:sz w:val="24"/>
          <w:lang w:val="uk-UA"/>
        </w:rPr>
        <w:t>202</w:t>
      </w:r>
      <w:r w:rsidRPr="00372523">
        <w:rPr>
          <w:rFonts w:ascii="Times New Roman" w:hAnsi="Times New Roman" w:cs="Times New Roman"/>
          <w:color w:val="000000" w:themeColor="text1"/>
          <w:sz w:val="24"/>
          <w:lang w:val="ru-RU"/>
        </w:rPr>
        <w:t>1</w:t>
      </w:r>
      <w:r w:rsidRPr="0053372B">
        <w:rPr>
          <w:rFonts w:ascii="Times New Roman" w:hAnsi="Times New Roman" w:cs="Times New Roman"/>
          <w:color w:val="000000" w:themeColor="text1"/>
          <w:sz w:val="24"/>
          <w:lang w:val="uk-UA"/>
        </w:rPr>
        <w:t> – 2024 роках</w:t>
      </w:r>
      <w:r w:rsidRPr="0053372B">
        <w:rPr>
          <w:rFonts w:ascii="Times New Roman" w:hAnsi="Times New Roman" w:cs="Times New Roman"/>
          <w:sz w:val="24"/>
          <w:lang w:val="uk-UA"/>
        </w:rPr>
        <w:t>.</w:t>
      </w:r>
    </w:p>
    <w:p w:rsidR="0017703B" w:rsidRPr="0053372B" w:rsidRDefault="0017703B" w:rsidP="00FF303D">
      <w:pPr>
        <w:pStyle w:val="af1"/>
        <w:ind w:firstLine="567"/>
        <w:jc w:val="both"/>
        <w:rPr>
          <w:rFonts w:ascii="Times New Roman" w:hAnsi="Times New Roman" w:cs="Times New Roman"/>
          <w:sz w:val="24"/>
          <w:lang w:val="uk-UA"/>
        </w:rPr>
      </w:pPr>
      <w:r w:rsidRPr="0053372B">
        <w:rPr>
          <w:rFonts w:ascii="Times New Roman" w:hAnsi="Times New Roman" w:cs="Times New Roman"/>
          <w:sz w:val="24"/>
          <w:lang w:val="uk-UA"/>
        </w:rPr>
        <w:t xml:space="preserve">Слід зазначити, що понад 50% операційних витрат </w:t>
      </w:r>
      <w:r w:rsidRPr="0053372B">
        <w:rPr>
          <w:rFonts w:ascii="Times New Roman" w:hAnsi="Times New Roman" w:cs="Times New Roman"/>
          <w:color w:val="000000" w:themeColor="text1"/>
          <w:sz w:val="24"/>
          <w:lang w:val="uk-UA"/>
        </w:rPr>
        <w:t>АТ «Укрзалізниця»</w:t>
      </w:r>
      <w:r w:rsidRPr="0053372B">
        <w:rPr>
          <w:rFonts w:ascii="Times New Roman" w:hAnsi="Times New Roman" w:cs="Times New Roman"/>
          <w:noProof/>
          <w:sz w:val="24"/>
          <w:lang w:val="uk-UA"/>
        </w:rPr>
        <w:t xml:space="preserve"> </w:t>
      </w:r>
      <w:r w:rsidRPr="0053372B">
        <w:rPr>
          <w:rFonts w:ascii="Times New Roman" w:hAnsi="Times New Roman" w:cs="Times New Roman"/>
          <w:sz w:val="24"/>
          <w:lang w:val="uk-UA"/>
        </w:rPr>
        <w:t xml:space="preserve">становлять витрати на персонал, </w:t>
      </w:r>
      <w:r w:rsidRPr="0053372B">
        <w:rPr>
          <w:rFonts w:ascii="Times New Roman" w:hAnsi="Times New Roman" w:cs="Times New Roman"/>
          <w:color w:val="000000" w:themeColor="text1"/>
          <w:sz w:val="24"/>
          <w:lang w:val="uk-UA"/>
        </w:rPr>
        <w:t xml:space="preserve">за очікуваннями </w:t>
      </w:r>
      <w:r w:rsidRPr="0053372B">
        <w:rPr>
          <w:rFonts w:ascii="Times New Roman" w:hAnsi="Times New Roman" w:cs="Times New Roman"/>
          <w:sz w:val="24"/>
          <w:lang w:val="uk-UA"/>
        </w:rPr>
        <w:t xml:space="preserve">Товариства у </w:t>
      </w:r>
      <w:r w:rsidRPr="0053372B">
        <w:rPr>
          <w:rFonts w:ascii="Times New Roman" w:hAnsi="Times New Roman" w:cs="Times New Roman"/>
          <w:color w:val="000000" w:themeColor="text1"/>
          <w:sz w:val="24"/>
          <w:lang w:val="uk-UA"/>
        </w:rPr>
        <w:t>202</w:t>
      </w:r>
      <w:r w:rsidRPr="00372523">
        <w:rPr>
          <w:rFonts w:ascii="Times New Roman" w:hAnsi="Times New Roman" w:cs="Times New Roman"/>
          <w:color w:val="000000" w:themeColor="text1"/>
          <w:sz w:val="24"/>
          <w:lang w:val="ru-RU"/>
        </w:rPr>
        <w:t>1</w:t>
      </w:r>
      <w:r w:rsidRPr="0053372B">
        <w:rPr>
          <w:rFonts w:ascii="Times New Roman" w:hAnsi="Times New Roman" w:cs="Times New Roman"/>
          <w:color w:val="000000" w:themeColor="text1"/>
          <w:sz w:val="24"/>
          <w:lang w:val="uk-UA"/>
        </w:rPr>
        <w:t xml:space="preserve"> – 2024 роках </w:t>
      </w:r>
      <w:r w:rsidR="0053372B">
        <w:rPr>
          <w:rFonts w:ascii="Times New Roman" w:hAnsi="Times New Roman" w:cs="Times New Roman"/>
          <w:color w:val="000000" w:themeColor="text1"/>
          <w:sz w:val="24"/>
          <w:lang w:val="uk-UA"/>
        </w:rPr>
        <w:t xml:space="preserve">їх </w:t>
      </w:r>
      <w:r w:rsidRPr="0053372B">
        <w:rPr>
          <w:rFonts w:ascii="Times New Roman" w:hAnsi="Times New Roman" w:cs="Times New Roman"/>
          <w:sz w:val="24"/>
          <w:lang w:val="uk-UA"/>
        </w:rPr>
        <w:t>питома вага не зміниться.</w:t>
      </w:r>
    </w:p>
    <w:p w:rsidR="0017703B" w:rsidRPr="00F5492F" w:rsidRDefault="0017703B" w:rsidP="00F5492F">
      <w:pPr>
        <w:pStyle w:val="aff6"/>
        <w:spacing w:before="120" w:after="0"/>
        <w:jc w:val="center"/>
        <w:rPr>
          <w:rFonts w:ascii="Times New Roman" w:hAnsi="Times New Roman" w:cs="Times New Roman"/>
          <w:b/>
          <w:color w:val="auto"/>
          <w:sz w:val="22"/>
        </w:rPr>
      </w:pPr>
      <w:r w:rsidRPr="00F5492F">
        <w:rPr>
          <w:rFonts w:ascii="Times New Roman" w:hAnsi="Times New Roman" w:cs="Times New Roman"/>
          <w:b/>
          <w:color w:val="auto"/>
          <w:sz w:val="22"/>
        </w:rPr>
        <w:t>Коефіцієнт заборгованості АТ «Укрзалізниця»</w:t>
      </w:r>
    </w:p>
    <w:tbl>
      <w:tblPr>
        <w:tblpPr w:leftFromText="180" w:rightFromText="180" w:vertAnchor="text" w:horzAnchor="margin" w:tblpY="184"/>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2"/>
        <w:gridCol w:w="864"/>
        <w:gridCol w:w="891"/>
        <w:gridCol w:w="890"/>
        <w:gridCol w:w="891"/>
        <w:gridCol w:w="890"/>
        <w:gridCol w:w="891"/>
        <w:gridCol w:w="890"/>
      </w:tblGrid>
      <w:tr w:rsidR="0017703B" w:rsidRPr="00D42472" w:rsidTr="00C4052A">
        <w:trPr>
          <w:trHeight w:val="264"/>
        </w:trPr>
        <w:tc>
          <w:tcPr>
            <w:tcW w:w="3432" w:type="dxa"/>
            <w:shd w:val="clear" w:color="000000" w:fill="FFFFFF"/>
            <w:noWrap/>
            <w:vAlign w:val="bottom"/>
            <w:hideMark/>
          </w:tcPr>
          <w:p w:rsidR="0017703B" w:rsidRPr="00D42472" w:rsidRDefault="0017703B" w:rsidP="00D42472">
            <w:pPr>
              <w:spacing w:after="0" w:line="240" w:lineRule="auto"/>
              <w:rPr>
                <w:rFonts w:ascii="Times New Roman" w:hAnsi="Times New Roman" w:cs="Times New Roman"/>
                <w:color w:val="000000"/>
                <w:sz w:val="20"/>
                <w:szCs w:val="20"/>
              </w:rPr>
            </w:pPr>
          </w:p>
        </w:tc>
        <w:tc>
          <w:tcPr>
            <w:tcW w:w="864" w:type="dxa"/>
            <w:shd w:val="clear" w:color="000000" w:fill="FFFFFF"/>
            <w:noWrap/>
            <w:vAlign w:val="bottom"/>
            <w:hideMark/>
          </w:tcPr>
          <w:p w:rsidR="0017703B" w:rsidRPr="00D42472" w:rsidRDefault="0017703B" w:rsidP="00D42472">
            <w:pPr>
              <w:spacing w:after="0" w:line="240" w:lineRule="auto"/>
              <w:jc w:val="center"/>
              <w:rPr>
                <w:rFonts w:ascii="Times New Roman" w:hAnsi="Times New Roman" w:cs="Times New Roman"/>
                <w:b/>
                <w:color w:val="000000"/>
                <w:sz w:val="20"/>
                <w:szCs w:val="20"/>
              </w:rPr>
            </w:pPr>
            <w:r w:rsidRPr="00D42472">
              <w:rPr>
                <w:rFonts w:ascii="Times New Roman" w:hAnsi="Times New Roman" w:cs="Times New Roman"/>
                <w:b/>
                <w:color w:val="000000"/>
                <w:sz w:val="20"/>
                <w:szCs w:val="20"/>
              </w:rPr>
              <w:t>2018</w:t>
            </w:r>
          </w:p>
        </w:tc>
        <w:tc>
          <w:tcPr>
            <w:tcW w:w="891" w:type="dxa"/>
            <w:shd w:val="clear" w:color="000000" w:fill="FFFFFF"/>
            <w:noWrap/>
            <w:vAlign w:val="bottom"/>
            <w:hideMark/>
          </w:tcPr>
          <w:p w:rsidR="0017703B" w:rsidRPr="00D42472" w:rsidRDefault="0017703B" w:rsidP="00D42472">
            <w:pPr>
              <w:spacing w:after="0" w:line="240" w:lineRule="auto"/>
              <w:jc w:val="center"/>
              <w:rPr>
                <w:rFonts w:ascii="Times New Roman" w:hAnsi="Times New Roman" w:cs="Times New Roman"/>
                <w:b/>
                <w:color w:val="000000"/>
                <w:sz w:val="20"/>
                <w:szCs w:val="20"/>
              </w:rPr>
            </w:pPr>
            <w:r w:rsidRPr="00D42472">
              <w:rPr>
                <w:rFonts w:ascii="Times New Roman" w:hAnsi="Times New Roman" w:cs="Times New Roman"/>
                <w:b/>
                <w:color w:val="000000"/>
                <w:sz w:val="20"/>
                <w:szCs w:val="20"/>
              </w:rPr>
              <w:t>2019</w:t>
            </w:r>
          </w:p>
        </w:tc>
        <w:tc>
          <w:tcPr>
            <w:tcW w:w="890" w:type="dxa"/>
            <w:shd w:val="clear" w:color="000000" w:fill="FFFFFF"/>
            <w:noWrap/>
            <w:vAlign w:val="bottom"/>
            <w:hideMark/>
          </w:tcPr>
          <w:p w:rsidR="0017703B" w:rsidRPr="00D42472" w:rsidRDefault="0017703B" w:rsidP="00D42472">
            <w:pPr>
              <w:spacing w:after="0" w:line="240" w:lineRule="auto"/>
              <w:jc w:val="center"/>
              <w:rPr>
                <w:rFonts w:ascii="Times New Roman" w:hAnsi="Times New Roman" w:cs="Times New Roman"/>
                <w:b/>
                <w:color w:val="000000"/>
                <w:sz w:val="20"/>
                <w:szCs w:val="20"/>
              </w:rPr>
            </w:pPr>
            <w:r w:rsidRPr="00D42472">
              <w:rPr>
                <w:rFonts w:ascii="Times New Roman" w:hAnsi="Times New Roman" w:cs="Times New Roman"/>
                <w:b/>
                <w:color w:val="000000"/>
                <w:sz w:val="20"/>
                <w:szCs w:val="20"/>
              </w:rPr>
              <w:t>2020</w:t>
            </w:r>
          </w:p>
        </w:tc>
        <w:tc>
          <w:tcPr>
            <w:tcW w:w="891" w:type="dxa"/>
            <w:shd w:val="clear" w:color="000000" w:fill="FFFFFF"/>
            <w:noWrap/>
            <w:vAlign w:val="bottom"/>
            <w:hideMark/>
          </w:tcPr>
          <w:p w:rsidR="0017703B" w:rsidRPr="00D42472" w:rsidRDefault="0017703B" w:rsidP="00D42472">
            <w:pPr>
              <w:spacing w:after="0" w:line="240" w:lineRule="auto"/>
              <w:jc w:val="center"/>
              <w:rPr>
                <w:rFonts w:ascii="Times New Roman" w:hAnsi="Times New Roman" w:cs="Times New Roman"/>
                <w:b/>
                <w:color w:val="000000"/>
                <w:sz w:val="20"/>
                <w:szCs w:val="20"/>
              </w:rPr>
            </w:pPr>
            <w:r w:rsidRPr="00D42472">
              <w:rPr>
                <w:rFonts w:ascii="Times New Roman" w:hAnsi="Times New Roman" w:cs="Times New Roman"/>
                <w:b/>
                <w:color w:val="000000"/>
                <w:sz w:val="20"/>
                <w:szCs w:val="20"/>
              </w:rPr>
              <w:t>2021</w:t>
            </w:r>
          </w:p>
        </w:tc>
        <w:tc>
          <w:tcPr>
            <w:tcW w:w="890" w:type="dxa"/>
            <w:shd w:val="clear" w:color="000000" w:fill="FFFFFF"/>
            <w:noWrap/>
            <w:vAlign w:val="bottom"/>
            <w:hideMark/>
          </w:tcPr>
          <w:p w:rsidR="0017703B" w:rsidRPr="00D42472" w:rsidRDefault="0017703B" w:rsidP="00D42472">
            <w:pPr>
              <w:spacing w:after="0" w:line="240" w:lineRule="auto"/>
              <w:jc w:val="center"/>
              <w:rPr>
                <w:rFonts w:ascii="Times New Roman" w:hAnsi="Times New Roman" w:cs="Times New Roman"/>
                <w:b/>
                <w:color w:val="000000"/>
                <w:sz w:val="20"/>
                <w:szCs w:val="20"/>
              </w:rPr>
            </w:pPr>
            <w:r w:rsidRPr="00D42472">
              <w:rPr>
                <w:rFonts w:ascii="Times New Roman" w:hAnsi="Times New Roman" w:cs="Times New Roman"/>
                <w:b/>
                <w:color w:val="000000"/>
                <w:sz w:val="20"/>
                <w:szCs w:val="20"/>
              </w:rPr>
              <w:t>2022</w:t>
            </w:r>
          </w:p>
        </w:tc>
        <w:tc>
          <w:tcPr>
            <w:tcW w:w="891" w:type="dxa"/>
            <w:shd w:val="clear" w:color="000000" w:fill="FFFFFF"/>
            <w:noWrap/>
            <w:vAlign w:val="bottom"/>
            <w:hideMark/>
          </w:tcPr>
          <w:p w:rsidR="0017703B" w:rsidRPr="00D42472" w:rsidRDefault="0017703B" w:rsidP="00D42472">
            <w:pPr>
              <w:spacing w:after="0" w:line="240" w:lineRule="auto"/>
              <w:jc w:val="center"/>
              <w:rPr>
                <w:rFonts w:ascii="Times New Roman" w:hAnsi="Times New Roman" w:cs="Times New Roman"/>
                <w:b/>
                <w:color w:val="000000"/>
                <w:sz w:val="20"/>
                <w:szCs w:val="20"/>
              </w:rPr>
            </w:pPr>
            <w:r w:rsidRPr="00D42472">
              <w:rPr>
                <w:rFonts w:ascii="Times New Roman" w:hAnsi="Times New Roman" w:cs="Times New Roman"/>
                <w:b/>
                <w:color w:val="000000"/>
                <w:sz w:val="20"/>
                <w:szCs w:val="20"/>
              </w:rPr>
              <w:t>2023</w:t>
            </w:r>
          </w:p>
        </w:tc>
        <w:tc>
          <w:tcPr>
            <w:tcW w:w="890" w:type="dxa"/>
            <w:shd w:val="clear" w:color="000000" w:fill="FFFFFF"/>
            <w:noWrap/>
            <w:vAlign w:val="bottom"/>
            <w:hideMark/>
          </w:tcPr>
          <w:p w:rsidR="0017703B" w:rsidRPr="00D42472" w:rsidRDefault="0017703B" w:rsidP="00D42472">
            <w:pPr>
              <w:spacing w:after="0" w:line="240" w:lineRule="auto"/>
              <w:jc w:val="center"/>
              <w:rPr>
                <w:rFonts w:ascii="Times New Roman" w:hAnsi="Times New Roman" w:cs="Times New Roman"/>
                <w:b/>
                <w:color w:val="000000"/>
                <w:sz w:val="20"/>
                <w:szCs w:val="20"/>
              </w:rPr>
            </w:pPr>
            <w:r w:rsidRPr="00D42472">
              <w:rPr>
                <w:rFonts w:ascii="Times New Roman" w:hAnsi="Times New Roman" w:cs="Times New Roman"/>
                <w:b/>
                <w:color w:val="000000"/>
                <w:sz w:val="20"/>
                <w:szCs w:val="20"/>
              </w:rPr>
              <w:t>2024</w:t>
            </w:r>
          </w:p>
        </w:tc>
      </w:tr>
      <w:tr w:rsidR="0017703B" w:rsidRPr="007A0CB0" w:rsidTr="00C4052A">
        <w:trPr>
          <w:trHeight w:val="264"/>
        </w:trPr>
        <w:tc>
          <w:tcPr>
            <w:tcW w:w="3432" w:type="dxa"/>
            <w:shd w:val="clear" w:color="000000" w:fill="FFFFFF"/>
            <w:noWrap/>
            <w:vAlign w:val="bottom"/>
            <w:hideMark/>
          </w:tcPr>
          <w:p w:rsidR="0017703B" w:rsidRPr="00D42472" w:rsidRDefault="0017703B" w:rsidP="00D42472">
            <w:pPr>
              <w:spacing w:after="0" w:line="240" w:lineRule="auto"/>
              <w:rPr>
                <w:rFonts w:ascii="Times New Roman" w:hAnsi="Times New Roman" w:cs="Times New Roman"/>
                <w:color w:val="000000"/>
                <w:sz w:val="20"/>
                <w:szCs w:val="20"/>
              </w:rPr>
            </w:pPr>
            <w:r w:rsidRPr="00D42472">
              <w:rPr>
                <w:rFonts w:ascii="Times New Roman" w:hAnsi="Times New Roman" w:cs="Times New Roman"/>
                <w:color w:val="000000"/>
                <w:sz w:val="20"/>
                <w:szCs w:val="20"/>
              </w:rPr>
              <w:t>Базовий сценарій</w:t>
            </w:r>
          </w:p>
        </w:tc>
        <w:tc>
          <w:tcPr>
            <w:tcW w:w="864" w:type="dxa"/>
            <w:shd w:val="clear" w:color="000000" w:fill="FFFFFF"/>
            <w:noWrap/>
            <w:vAlign w:val="bottom"/>
            <w:hideMark/>
          </w:tcPr>
          <w:p w:rsidR="0017703B" w:rsidRPr="00D42472" w:rsidRDefault="0017703B" w:rsidP="00D42472">
            <w:pPr>
              <w:spacing w:after="0" w:line="240" w:lineRule="auto"/>
              <w:jc w:val="right"/>
              <w:rPr>
                <w:rFonts w:ascii="Times New Roman" w:hAnsi="Times New Roman" w:cs="Times New Roman"/>
                <w:color w:val="000000"/>
                <w:sz w:val="20"/>
                <w:szCs w:val="20"/>
              </w:rPr>
            </w:pPr>
            <w:r w:rsidRPr="00D42472">
              <w:rPr>
                <w:rFonts w:ascii="Times New Roman" w:hAnsi="Times New Roman" w:cs="Times New Roman"/>
                <w:color w:val="000000"/>
                <w:sz w:val="20"/>
                <w:szCs w:val="20"/>
              </w:rPr>
              <w:t>20,9%</w:t>
            </w:r>
          </w:p>
        </w:tc>
        <w:tc>
          <w:tcPr>
            <w:tcW w:w="891" w:type="dxa"/>
            <w:shd w:val="clear" w:color="000000" w:fill="FFFFFF"/>
            <w:noWrap/>
            <w:vAlign w:val="bottom"/>
            <w:hideMark/>
          </w:tcPr>
          <w:p w:rsidR="0017703B" w:rsidRPr="00D42472" w:rsidRDefault="0017703B" w:rsidP="00D42472">
            <w:pPr>
              <w:spacing w:after="0" w:line="240" w:lineRule="auto"/>
              <w:jc w:val="right"/>
              <w:rPr>
                <w:rFonts w:ascii="Times New Roman" w:hAnsi="Times New Roman" w:cs="Times New Roman"/>
                <w:color w:val="000000"/>
                <w:sz w:val="20"/>
                <w:szCs w:val="20"/>
              </w:rPr>
            </w:pPr>
            <w:r w:rsidRPr="00D42472">
              <w:rPr>
                <w:rFonts w:ascii="Times New Roman" w:hAnsi="Times New Roman" w:cs="Times New Roman"/>
                <w:color w:val="000000"/>
                <w:sz w:val="20"/>
                <w:szCs w:val="20"/>
              </w:rPr>
              <w:t>21,3%</w:t>
            </w:r>
          </w:p>
        </w:tc>
        <w:tc>
          <w:tcPr>
            <w:tcW w:w="890" w:type="dxa"/>
            <w:shd w:val="clear" w:color="000000" w:fill="FFFFFF"/>
            <w:noWrap/>
            <w:vAlign w:val="bottom"/>
            <w:hideMark/>
          </w:tcPr>
          <w:p w:rsidR="0017703B" w:rsidRPr="00D42472" w:rsidRDefault="0017703B" w:rsidP="00D42472">
            <w:pPr>
              <w:spacing w:after="0" w:line="240" w:lineRule="auto"/>
              <w:jc w:val="right"/>
              <w:rPr>
                <w:rFonts w:ascii="Times New Roman" w:hAnsi="Times New Roman" w:cs="Times New Roman"/>
                <w:color w:val="000000"/>
                <w:sz w:val="20"/>
                <w:szCs w:val="20"/>
              </w:rPr>
            </w:pPr>
            <w:r w:rsidRPr="00D42472">
              <w:rPr>
                <w:rFonts w:ascii="Times New Roman" w:hAnsi="Times New Roman" w:cs="Times New Roman"/>
                <w:color w:val="000000"/>
                <w:sz w:val="20"/>
                <w:szCs w:val="20"/>
              </w:rPr>
              <w:t>22,6%</w:t>
            </w:r>
          </w:p>
        </w:tc>
        <w:tc>
          <w:tcPr>
            <w:tcW w:w="891" w:type="dxa"/>
            <w:shd w:val="clear" w:color="000000" w:fill="FFFFFF"/>
            <w:noWrap/>
            <w:vAlign w:val="bottom"/>
            <w:hideMark/>
          </w:tcPr>
          <w:p w:rsidR="0017703B" w:rsidRPr="00D42472" w:rsidRDefault="0017703B" w:rsidP="00D42472">
            <w:pPr>
              <w:spacing w:after="0" w:line="240" w:lineRule="auto"/>
              <w:jc w:val="right"/>
              <w:rPr>
                <w:rFonts w:ascii="Times New Roman" w:hAnsi="Times New Roman" w:cs="Times New Roman"/>
                <w:color w:val="000000"/>
                <w:sz w:val="20"/>
                <w:szCs w:val="20"/>
              </w:rPr>
            </w:pPr>
            <w:r w:rsidRPr="00D42472">
              <w:rPr>
                <w:rFonts w:ascii="Times New Roman" w:hAnsi="Times New Roman" w:cs="Times New Roman"/>
                <w:color w:val="000000"/>
                <w:sz w:val="20"/>
                <w:szCs w:val="20"/>
              </w:rPr>
              <w:t>22,9%</w:t>
            </w:r>
          </w:p>
        </w:tc>
        <w:tc>
          <w:tcPr>
            <w:tcW w:w="890" w:type="dxa"/>
            <w:shd w:val="clear" w:color="000000" w:fill="FFFFFF"/>
            <w:noWrap/>
            <w:vAlign w:val="bottom"/>
            <w:hideMark/>
          </w:tcPr>
          <w:p w:rsidR="0017703B" w:rsidRPr="00D42472" w:rsidRDefault="0017703B" w:rsidP="00D42472">
            <w:pPr>
              <w:spacing w:after="0" w:line="240" w:lineRule="auto"/>
              <w:jc w:val="right"/>
              <w:rPr>
                <w:rFonts w:ascii="Times New Roman" w:hAnsi="Times New Roman" w:cs="Times New Roman"/>
                <w:color w:val="000000"/>
                <w:sz w:val="20"/>
                <w:szCs w:val="20"/>
              </w:rPr>
            </w:pPr>
            <w:r w:rsidRPr="00D42472">
              <w:rPr>
                <w:rFonts w:ascii="Times New Roman" w:hAnsi="Times New Roman" w:cs="Times New Roman"/>
                <w:color w:val="000000"/>
                <w:sz w:val="20"/>
                <w:szCs w:val="20"/>
              </w:rPr>
              <w:t>24,6%</w:t>
            </w:r>
          </w:p>
        </w:tc>
        <w:tc>
          <w:tcPr>
            <w:tcW w:w="891" w:type="dxa"/>
            <w:shd w:val="clear" w:color="000000" w:fill="FFFFFF"/>
            <w:noWrap/>
            <w:vAlign w:val="bottom"/>
            <w:hideMark/>
          </w:tcPr>
          <w:p w:rsidR="0017703B" w:rsidRPr="00D42472" w:rsidRDefault="0017703B" w:rsidP="00D42472">
            <w:pPr>
              <w:spacing w:after="0" w:line="240" w:lineRule="auto"/>
              <w:jc w:val="right"/>
              <w:rPr>
                <w:rFonts w:ascii="Times New Roman" w:hAnsi="Times New Roman" w:cs="Times New Roman"/>
                <w:color w:val="000000"/>
                <w:sz w:val="20"/>
                <w:szCs w:val="20"/>
              </w:rPr>
            </w:pPr>
            <w:r w:rsidRPr="00D42472">
              <w:rPr>
                <w:rFonts w:ascii="Times New Roman" w:hAnsi="Times New Roman" w:cs="Times New Roman"/>
                <w:color w:val="000000"/>
                <w:sz w:val="20"/>
                <w:szCs w:val="20"/>
              </w:rPr>
              <w:t>25,4%</w:t>
            </w:r>
          </w:p>
        </w:tc>
        <w:tc>
          <w:tcPr>
            <w:tcW w:w="890" w:type="dxa"/>
            <w:shd w:val="clear" w:color="000000" w:fill="FFFFFF"/>
            <w:noWrap/>
            <w:vAlign w:val="bottom"/>
            <w:hideMark/>
          </w:tcPr>
          <w:p w:rsidR="0017703B" w:rsidRPr="00D42472" w:rsidRDefault="0017703B" w:rsidP="00D42472">
            <w:pPr>
              <w:spacing w:after="0" w:line="240" w:lineRule="auto"/>
              <w:jc w:val="right"/>
              <w:rPr>
                <w:rFonts w:ascii="Times New Roman" w:hAnsi="Times New Roman" w:cs="Times New Roman"/>
                <w:color w:val="000000"/>
                <w:sz w:val="20"/>
                <w:szCs w:val="20"/>
              </w:rPr>
            </w:pPr>
            <w:r w:rsidRPr="00D42472">
              <w:rPr>
                <w:rFonts w:ascii="Times New Roman" w:hAnsi="Times New Roman" w:cs="Times New Roman"/>
                <w:color w:val="000000"/>
                <w:sz w:val="20"/>
                <w:szCs w:val="20"/>
              </w:rPr>
              <w:t>20,6%</w:t>
            </w:r>
          </w:p>
        </w:tc>
      </w:tr>
      <w:tr w:rsidR="0017703B" w:rsidRPr="007A0CB0" w:rsidTr="00C4052A">
        <w:trPr>
          <w:trHeight w:val="264"/>
        </w:trPr>
        <w:tc>
          <w:tcPr>
            <w:tcW w:w="3432" w:type="dxa"/>
            <w:shd w:val="clear" w:color="000000" w:fill="FFFFFF"/>
            <w:noWrap/>
            <w:vAlign w:val="bottom"/>
            <w:hideMark/>
          </w:tcPr>
          <w:p w:rsidR="0017703B" w:rsidRPr="00D42472" w:rsidRDefault="0017703B" w:rsidP="00D42472">
            <w:pPr>
              <w:spacing w:after="0" w:line="240" w:lineRule="auto"/>
              <w:rPr>
                <w:rFonts w:ascii="Times New Roman" w:hAnsi="Times New Roman" w:cs="Times New Roman"/>
                <w:color w:val="000000"/>
                <w:sz w:val="20"/>
                <w:szCs w:val="20"/>
              </w:rPr>
            </w:pPr>
            <w:r w:rsidRPr="00D42472">
              <w:rPr>
                <w:rFonts w:ascii="Times New Roman" w:hAnsi="Times New Roman" w:cs="Times New Roman"/>
                <w:color w:val="000000"/>
                <w:sz w:val="20"/>
                <w:szCs w:val="20"/>
              </w:rPr>
              <w:t>Песимістичний сценарій</w:t>
            </w:r>
          </w:p>
        </w:tc>
        <w:tc>
          <w:tcPr>
            <w:tcW w:w="864" w:type="dxa"/>
            <w:shd w:val="clear" w:color="000000" w:fill="FFFFFF"/>
            <w:noWrap/>
            <w:vAlign w:val="bottom"/>
            <w:hideMark/>
          </w:tcPr>
          <w:p w:rsidR="0017703B" w:rsidRPr="00D42472" w:rsidRDefault="0017703B" w:rsidP="00D42472">
            <w:pPr>
              <w:spacing w:after="0" w:line="240" w:lineRule="auto"/>
              <w:jc w:val="right"/>
              <w:rPr>
                <w:rFonts w:ascii="Times New Roman" w:hAnsi="Times New Roman" w:cs="Times New Roman"/>
                <w:color w:val="000000"/>
                <w:sz w:val="20"/>
                <w:szCs w:val="20"/>
              </w:rPr>
            </w:pPr>
            <w:r w:rsidRPr="00D42472">
              <w:rPr>
                <w:rFonts w:ascii="Times New Roman" w:hAnsi="Times New Roman" w:cs="Times New Roman"/>
                <w:color w:val="000000"/>
                <w:sz w:val="20"/>
                <w:szCs w:val="20"/>
              </w:rPr>
              <w:t>20,9%</w:t>
            </w:r>
          </w:p>
        </w:tc>
        <w:tc>
          <w:tcPr>
            <w:tcW w:w="891" w:type="dxa"/>
            <w:shd w:val="clear" w:color="000000" w:fill="FFFFFF"/>
            <w:noWrap/>
            <w:vAlign w:val="bottom"/>
            <w:hideMark/>
          </w:tcPr>
          <w:p w:rsidR="0017703B" w:rsidRPr="00D42472" w:rsidRDefault="0017703B" w:rsidP="00D42472">
            <w:pPr>
              <w:spacing w:after="0" w:line="240" w:lineRule="auto"/>
              <w:jc w:val="right"/>
              <w:rPr>
                <w:rFonts w:ascii="Times New Roman" w:hAnsi="Times New Roman" w:cs="Times New Roman"/>
                <w:color w:val="000000"/>
                <w:sz w:val="20"/>
                <w:szCs w:val="20"/>
              </w:rPr>
            </w:pPr>
            <w:r w:rsidRPr="00D42472">
              <w:rPr>
                <w:rFonts w:ascii="Times New Roman" w:hAnsi="Times New Roman" w:cs="Times New Roman"/>
                <w:color w:val="000000"/>
                <w:sz w:val="20"/>
                <w:szCs w:val="20"/>
              </w:rPr>
              <w:t>21,3%</w:t>
            </w:r>
          </w:p>
        </w:tc>
        <w:tc>
          <w:tcPr>
            <w:tcW w:w="890" w:type="dxa"/>
            <w:shd w:val="clear" w:color="000000" w:fill="FFFFFF"/>
            <w:noWrap/>
            <w:vAlign w:val="bottom"/>
            <w:hideMark/>
          </w:tcPr>
          <w:p w:rsidR="0017703B" w:rsidRPr="00D42472" w:rsidRDefault="0017703B" w:rsidP="00D42472">
            <w:pPr>
              <w:spacing w:after="0" w:line="240" w:lineRule="auto"/>
              <w:jc w:val="right"/>
              <w:rPr>
                <w:rFonts w:ascii="Times New Roman" w:hAnsi="Times New Roman" w:cs="Times New Roman"/>
                <w:color w:val="000000"/>
                <w:sz w:val="20"/>
                <w:szCs w:val="20"/>
              </w:rPr>
            </w:pPr>
            <w:r w:rsidRPr="00D42472">
              <w:rPr>
                <w:rFonts w:ascii="Times New Roman" w:hAnsi="Times New Roman" w:cs="Times New Roman"/>
                <w:color w:val="000000"/>
                <w:sz w:val="20"/>
                <w:szCs w:val="20"/>
              </w:rPr>
              <w:t>22,6%</w:t>
            </w:r>
          </w:p>
        </w:tc>
        <w:tc>
          <w:tcPr>
            <w:tcW w:w="891" w:type="dxa"/>
            <w:shd w:val="clear" w:color="000000" w:fill="FFFFFF"/>
            <w:noWrap/>
            <w:vAlign w:val="bottom"/>
            <w:hideMark/>
          </w:tcPr>
          <w:p w:rsidR="0017703B" w:rsidRPr="00D42472" w:rsidRDefault="0017703B" w:rsidP="00D42472">
            <w:pPr>
              <w:spacing w:after="0" w:line="240" w:lineRule="auto"/>
              <w:jc w:val="right"/>
              <w:rPr>
                <w:rFonts w:ascii="Times New Roman" w:hAnsi="Times New Roman" w:cs="Times New Roman"/>
                <w:color w:val="000000"/>
                <w:sz w:val="20"/>
                <w:szCs w:val="20"/>
              </w:rPr>
            </w:pPr>
            <w:r w:rsidRPr="00D42472">
              <w:rPr>
                <w:rFonts w:ascii="Times New Roman" w:hAnsi="Times New Roman" w:cs="Times New Roman"/>
                <w:color w:val="000000"/>
                <w:sz w:val="20"/>
                <w:szCs w:val="20"/>
              </w:rPr>
              <w:t>22,9%</w:t>
            </w:r>
          </w:p>
        </w:tc>
        <w:tc>
          <w:tcPr>
            <w:tcW w:w="890" w:type="dxa"/>
            <w:shd w:val="clear" w:color="000000" w:fill="FFFFFF"/>
            <w:noWrap/>
            <w:vAlign w:val="bottom"/>
            <w:hideMark/>
          </w:tcPr>
          <w:p w:rsidR="0017703B" w:rsidRPr="00D42472" w:rsidRDefault="0017703B" w:rsidP="00D42472">
            <w:pPr>
              <w:spacing w:after="0" w:line="240" w:lineRule="auto"/>
              <w:jc w:val="right"/>
              <w:rPr>
                <w:rFonts w:ascii="Times New Roman" w:hAnsi="Times New Roman" w:cs="Times New Roman"/>
                <w:color w:val="000000"/>
                <w:sz w:val="20"/>
                <w:szCs w:val="20"/>
              </w:rPr>
            </w:pPr>
            <w:r w:rsidRPr="00D42472">
              <w:rPr>
                <w:rFonts w:ascii="Times New Roman" w:hAnsi="Times New Roman" w:cs="Times New Roman"/>
                <w:color w:val="000000"/>
                <w:sz w:val="20"/>
                <w:szCs w:val="20"/>
              </w:rPr>
              <w:t>24,9%</w:t>
            </w:r>
          </w:p>
        </w:tc>
        <w:tc>
          <w:tcPr>
            <w:tcW w:w="891" w:type="dxa"/>
            <w:shd w:val="clear" w:color="000000" w:fill="FFFFFF"/>
            <w:noWrap/>
            <w:vAlign w:val="bottom"/>
            <w:hideMark/>
          </w:tcPr>
          <w:p w:rsidR="0017703B" w:rsidRPr="00D42472" w:rsidRDefault="0017703B" w:rsidP="00D42472">
            <w:pPr>
              <w:spacing w:after="0" w:line="240" w:lineRule="auto"/>
              <w:jc w:val="right"/>
              <w:rPr>
                <w:rFonts w:ascii="Times New Roman" w:hAnsi="Times New Roman" w:cs="Times New Roman"/>
                <w:color w:val="000000"/>
                <w:sz w:val="20"/>
                <w:szCs w:val="20"/>
              </w:rPr>
            </w:pPr>
            <w:r w:rsidRPr="00D42472">
              <w:rPr>
                <w:rFonts w:ascii="Times New Roman" w:hAnsi="Times New Roman" w:cs="Times New Roman"/>
                <w:color w:val="000000"/>
                <w:sz w:val="20"/>
                <w:szCs w:val="20"/>
              </w:rPr>
              <w:t>25,8%</w:t>
            </w:r>
          </w:p>
        </w:tc>
        <w:tc>
          <w:tcPr>
            <w:tcW w:w="890" w:type="dxa"/>
            <w:shd w:val="clear" w:color="000000" w:fill="FFFFFF"/>
            <w:noWrap/>
            <w:vAlign w:val="bottom"/>
            <w:hideMark/>
          </w:tcPr>
          <w:p w:rsidR="0017703B" w:rsidRPr="00D42472" w:rsidRDefault="0017703B" w:rsidP="00D42472">
            <w:pPr>
              <w:spacing w:after="0" w:line="240" w:lineRule="auto"/>
              <w:jc w:val="right"/>
              <w:rPr>
                <w:rFonts w:ascii="Times New Roman" w:hAnsi="Times New Roman" w:cs="Times New Roman"/>
                <w:color w:val="000000"/>
                <w:sz w:val="20"/>
                <w:szCs w:val="20"/>
              </w:rPr>
            </w:pPr>
            <w:r w:rsidRPr="00D42472">
              <w:rPr>
                <w:rFonts w:ascii="Times New Roman" w:hAnsi="Times New Roman" w:cs="Times New Roman"/>
                <w:color w:val="000000"/>
                <w:sz w:val="20"/>
                <w:szCs w:val="20"/>
              </w:rPr>
              <w:t>20,1%</w:t>
            </w:r>
          </w:p>
        </w:tc>
      </w:tr>
    </w:tbl>
    <w:p w:rsidR="0017703B" w:rsidRDefault="0017703B" w:rsidP="00FF303D">
      <w:pPr>
        <w:pStyle w:val="af1"/>
        <w:spacing w:after="120"/>
        <w:jc w:val="both"/>
        <w:rPr>
          <w:rFonts w:ascii="Times New Roman" w:hAnsi="Times New Roman" w:cs="Times New Roman"/>
          <w:color w:val="000000" w:themeColor="text1"/>
          <w:lang w:val="uk-UA" w:eastAsia="ru-RU"/>
        </w:rPr>
      </w:pPr>
      <w:r>
        <w:rPr>
          <w:noProof/>
          <w:lang w:val="uk-UA" w:eastAsia="uk-UA" w:bidi="ar-SA"/>
        </w:rPr>
        <w:drawing>
          <wp:inline distT="0" distB="0" distL="0" distR="0" wp14:anchorId="4C6B13C0" wp14:editId="42E18670">
            <wp:extent cx="4544060" cy="1364673"/>
            <wp:effectExtent l="0" t="0" r="8890" b="6985"/>
            <wp:docPr id="7" name="Діаграма 7">
              <a:extLst xmlns:a="http://schemas.openxmlformats.org/drawingml/2006/main">
                <a:ext uri="{FF2B5EF4-FFF2-40B4-BE49-F238E27FC236}">
                  <a16:creationId xmlns:a16="http://schemas.microsoft.com/office/drawing/2014/main" id="{00000000-0008-0000-0B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17703B" w:rsidRPr="00F5492F" w:rsidRDefault="0017703B" w:rsidP="00FF303D">
      <w:pPr>
        <w:pStyle w:val="af1"/>
        <w:ind w:firstLine="567"/>
        <w:jc w:val="both"/>
        <w:rPr>
          <w:rFonts w:ascii="Times New Roman" w:hAnsi="Times New Roman" w:cs="Times New Roman"/>
          <w:sz w:val="24"/>
          <w:lang w:val="uk-UA"/>
        </w:rPr>
      </w:pPr>
      <w:r w:rsidRPr="00F5492F">
        <w:rPr>
          <w:rFonts w:ascii="Times New Roman" w:hAnsi="Times New Roman" w:cs="Times New Roman"/>
          <w:sz w:val="24"/>
          <w:lang w:val="uk-UA"/>
        </w:rPr>
        <w:t>Значення коефіцієнта заборгованості АТ «Укрзалізниця» протягом 2018 – 2020 років (на рівні 21-23%) свідчить про сталу залежність Товариства від позикового капіталу, при цьому у 2021 – 2023 роках за обома сценаріями очікується незначне зростання цього показника.</w:t>
      </w:r>
    </w:p>
    <w:p w:rsidR="0017703B" w:rsidRPr="00F5492F" w:rsidRDefault="0017703B" w:rsidP="00F5492F">
      <w:pPr>
        <w:pStyle w:val="aff6"/>
        <w:spacing w:before="120" w:after="0"/>
        <w:jc w:val="center"/>
        <w:rPr>
          <w:rFonts w:ascii="Times New Roman" w:hAnsi="Times New Roman" w:cs="Times New Roman"/>
          <w:b/>
          <w:color w:val="auto"/>
          <w:sz w:val="22"/>
        </w:rPr>
      </w:pPr>
      <w:r w:rsidRPr="00F5492F">
        <w:rPr>
          <w:rFonts w:ascii="Times New Roman" w:hAnsi="Times New Roman" w:cs="Times New Roman"/>
          <w:b/>
          <w:color w:val="auto"/>
          <w:sz w:val="22"/>
        </w:rPr>
        <w:t>Коефіцієнт поточної ліквідності АТ «Укрзалізниця»</w:t>
      </w:r>
    </w:p>
    <w:tbl>
      <w:tblPr>
        <w:tblpPr w:leftFromText="180" w:rightFromText="180" w:vertAnchor="text" w:horzAnchor="margin" w:tblpY="172"/>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49"/>
        <w:gridCol w:w="849"/>
        <w:gridCol w:w="889"/>
        <w:gridCol w:w="890"/>
        <w:gridCol w:w="891"/>
        <w:gridCol w:w="890"/>
        <w:gridCol w:w="891"/>
        <w:gridCol w:w="890"/>
      </w:tblGrid>
      <w:tr w:rsidR="0017703B" w:rsidRPr="00605369" w:rsidTr="00C4052A">
        <w:trPr>
          <w:trHeight w:val="264"/>
        </w:trPr>
        <w:tc>
          <w:tcPr>
            <w:tcW w:w="3449" w:type="dxa"/>
            <w:shd w:val="clear" w:color="000000" w:fill="FFFFFF"/>
            <w:noWrap/>
            <w:vAlign w:val="bottom"/>
          </w:tcPr>
          <w:p w:rsidR="0017703B" w:rsidRPr="00F5492F" w:rsidRDefault="0017703B" w:rsidP="00F5492F">
            <w:pPr>
              <w:spacing w:after="0" w:line="240" w:lineRule="auto"/>
              <w:rPr>
                <w:rFonts w:ascii="Times New Roman" w:hAnsi="Times New Roman" w:cs="Times New Roman"/>
                <w:color w:val="000000"/>
                <w:sz w:val="20"/>
                <w:szCs w:val="20"/>
              </w:rPr>
            </w:pPr>
          </w:p>
        </w:tc>
        <w:tc>
          <w:tcPr>
            <w:tcW w:w="849" w:type="dxa"/>
            <w:shd w:val="clear" w:color="000000" w:fill="FFFFFF"/>
            <w:vAlign w:val="bottom"/>
          </w:tcPr>
          <w:p w:rsidR="0017703B" w:rsidRPr="00F5492F" w:rsidRDefault="0017703B" w:rsidP="00F5492F">
            <w:pPr>
              <w:spacing w:after="0" w:line="240" w:lineRule="auto"/>
              <w:jc w:val="center"/>
              <w:rPr>
                <w:rFonts w:ascii="Times New Roman" w:hAnsi="Times New Roman" w:cs="Times New Roman"/>
                <w:b/>
                <w:color w:val="000000"/>
                <w:sz w:val="20"/>
                <w:szCs w:val="20"/>
              </w:rPr>
            </w:pPr>
            <w:r w:rsidRPr="00F5492F">
              <w:rPr>
                <w:rFonts w:ascii="Times New Roman" w:hAnsi="Times New Roman" w:cs="Times New Roman"/>
                <w:b/>
                <w:color w:val="000000"/>
                <w:sz w:val="20"/>
                <w:szCs w:val="20"/>
              </w:rPr>
              <w:t>2018</w:t>
            </w:r>
          </w:p>
        </w:tc>
        <w:tc>
          <w:tcPr>
            <w:tcW w:w="889" w:type="dxa"/>
            <w:shd w:val="clear" w:color="000000" w:fill="FFFFFF"/>
            <w:noWrap/>
            <w:vAlign w:val="bottom"/>
            <w:hideMark/>
          </w:tcPr>
          <w:p w:rsidR="0017703B" w:rsidRPr="00F5492F" w:rsidRDefault="0017703B" w:rsidP="00F5492F">
            <w:pPr>
              <w:spacing w:after="0" w:line="240" w:lineRule="auto"/>
              <w:jc w:val="center"/>
              <w:rPr>
                <w:rFonts w:ascii="Times New Roman" w:hAnsi="Times New Roman" w:cs="Times New Roman"/>
                <w:b/>
                <w:color w:val="000000"/>
                <w:sz w:val="20"/>
                <w:szCs w:val="20"/>
              </w:rPr>
            </w:pPr>
            <w:r w:rsidRPr="00F5492F">
              <w:rPr>
                <w:rFonts w:ascii="Times New Roman" w:hAnsi="Times New Roman" w:cs="Times New Roman"/>
                <w:b/>
                <w:color w:val="000000"/>
                <w:sz w:val="20"/>
                <w:szCs w:val="20"/>
              </w:rPr>
              <w:t>2019</w:t>
            </w:r>
          </w:p>
        </w:tc>
        <w:tc>
          <w:tcPr>
            <w:tcW w:w="890" w:type="dxa"/>
            <w:shd w:val="clear" w:color="000000" w:fill="FFFFFF"/>
            <w:noWrap/>
            <w:vAlign w:val="bottom"/>
            <w:hideMark/>
          </w:tcPr>
          <w:p w:rsidR="0017703B" w:rsidRPr="00F5492F" w:rsidRDefault="0017703B" w:rsidP="00F5492F">
            <w:pPr>
              <w:spacing w:after="0" w:line="240" w:lineRule="auto"/>
              <w:jc w:val="center"/>
              <w:rPr>
                <w:rFonts w:ascii="Times New Roman" w:hAnsi="Times New Roman" w:cs="Times New Roman"/>
                <w:b/>
                <w:color w:val="000000"/>
                <w:sz w:val="20"/>
                <w:szCs w:val="20"/>
              </w:rPr>
            </w:pPr>
            <w:r w:rsidRPr="00F5492F">
              <w:rPr>
                <w:rFonts w:ascii="Times New Roman" w:hAnsi="Times New Roman" w:cs="Times New Roman"/>
                <w:b/>
                <w:color w:val="000000"/>
                <w:sz w:val="20"/>
                <w:szCs w:val="20"/>
              </w:rPr>
              <w:t>2020</w:t>
            </w:r>
          </w:p>
        </w:tc>
        <w:tc>
          <w:tcPr>
            <w:tcW w:w="891" w:type="dxa"/>
            <w:shd w:val="clear" w:color="000000" w:fill="FFFFFF"/>
            <w:noWrap/>
            <w:vAlign w:val="bottom"/>
            <w:hideMark/>
          </w:tcPr>
          <w:p w:rsidR="0017703B" w:rsidRPr="00F5492F" w:rsidRDefault="0017703B" w:rsidP="00F5492F">
            <w:pPr>
              <w:spacing w:after="0" w:line="240" w:lineRule="auto"/>
              <w:jc w:val="center"/>
              <w:rPr>
                <w:rFonts w:ascii="Times New Roman" w:hAnsi="Times New Roman" w:cs="Times New Roman"/>
                <w:b/>
                <w:color w:val="000000"/>
                <w:sz w:val="20"/>
                <w:szCs w:val="20"/>
              </w:rPr>
            </w:pPr>
            <w:r w:rsidRPr="00F5492F">
              <w:rPr>
                <w:rFonts w:ascii="Times New Roman" w:hAnsi="Times New Roman" w:cs="Times New Roman"/>
                <w:b/>
                <w:color w:val="000000"/>
                <w:sz w:val="20"/>
                <w:szCs w:val="20"/>
              </w:rPr>
              <w:t>2021</w:t>
            </w:r>
          </w:p>
        </w:tc>
        <w:tc>
          <w:tcPr>
            <w:tcW w:w="890" w:type="dxa"/>
            <w:shd w:val="clear" w:color="000000" w:fill="FFFFFF"/>
            <w:noWrap/>
            <w:vAlign w:val="bottom"/>
            <w:hideMark/>
          </w:tcPr>
          <w:p w:rsidR="0017703B" w:rsidRPr="00F5492F" w:rsidRDefault="0017703B" w:rsidP="00F5492F">
            <w:pPr>
              <w:spacing w:after="0" w:line="240" w:lineRule="auto"/>
              <w:jc w:val="center"/>
              <w:rPr>
                <w:rFonts w:ascii="Times New Roman" w:hAnsi="Times New Roman" w:cs="Times New Roman"/>
                <w:b/>
                <w:color w:val="000000"/>
                <w:sz w:val="20"/>
                <w:szCs w:val="20"/>
              </w:rPr>
            </w:pPr>
            <w:r w:rsidRPr="00F5492F">
              <w:rPr>
                <w:rFonts w:ascii="Times New Roman" w:hAnsi="Times New Roman" w:cs="Times New Roman"/>
                <w:b/>
                <w:color w:val="000000"/>
                <w:sz w:val="20"/>
                <w:szCs w:val="20"/>
              </w:rPr>
              <w:t>2022</w:t>
            </w:r>
          </w:p>
        </w:tc>
        <w:tc>
          <w:tcPr>
            <w:tcW w:w="891" w:type="dxa"/>
            <w:shd w:val="clear" w:color="000000" w:fill="FFFFFF"/>
            <w:noWrap/>
            <w:vAlign w:val="bottom"/>
            <w:hideMark/>
          </w:tcPr>
          <w:p w:rsidR="0017703B" w:rsidRPr="00F5492F" w:rsidRDefault="0017703B" w:rsidP="00F5492F">
            <w:pPr>
              <w:spacing w:after="0" w:line="240" w:lineRule="auto"/>
              <w:jc w:val="center"/>
              <w:rPr>
                <w:rFonts w:ascii="Times New Roman" w:hAnsi="Times New Roman" w:cs="Times New Roman"/>
                <w:b/>
                <w:color w:val="000000"/>
                <w:sz w:val="20"/>
                <w:szCs w:val="20"/>
              </w:rPr>
            </w:pPr>
            <w:r w:rsidRPr="00F5492F">
              <w:rPr>
                <w:rFonts w:ascii="Times New Roman" w:hAnsi="Times New Roman" w:cs="Times New Roman"/>
                <w:b/>
                <w:color w:val="000000"/>
                <w:sz w:val="20"/>
                <w:szCs w:val="20"/>
              </w:rPr>
              <w:t>2023</w:t>
            </w:r>
          </w:p>
        </w:tc>
        <w:tc>
          <w:tcPr>
            <w:tcW w:w="890" w:type="dxa"/>
            <w:shd w:val="clear" w:color="000000" w:fill="FFFFFF"/>
            <w:vAlign w:val="bottom"/>
          </w:tcPr>
          <w:p w:rsidR="0017703B" w:rsidRPr="00F5492F" w:rsidRDefault="0017703B" w:rsidP="00F5492F">
            <w:pPr>
              <w:spacing w:after="0" w:line="240" w:lineRule="auto"/>
              <w:jc w:val="center"/>
              <w:rPr>
                <w:rFonts w:ascii="Times New Roman" w:hAnsi="Times New Roman" w:cs="Times New Roman"/>
                <w:b/>
                <w:color w:val="000000"/>
                <w:sz w:val="20"/>
                <w:szCs w:val="20"/>
              </w:rPr>
            </w:pPr>
            <w:r w:rsidRPr="00F5492F">
              <w:rPr>
                <w:rFonts w:ascii="Times New Roman" w:hAnsi="Times New Roman" w:cs="Times New Roman"/>
                <w:b/>
                <w:color w:val="000000"/>
                <w:sz w:val="20"/>
                <w:szCs w:val="20"/>
              </w:rPr>
              <w:t>2024</w:t>
            </w:r>
          </w:p>
        </w:tc>
      </w:tr>
      <w:tr w:rsidR="0017703B" w:rsidRPr="00052B5D" w:rsidTr="00C4052A">
        <w:trPr>
          <w:trHeight w:val="264"/>
        </w:trPr>
        <w:tc>
          <w:tcPr>
            <w:tcW w:w="3449" w:type="dxa"/>
            <w:shd w:val="clear" w:color="000000" w:fill="FFFFFF"/>
            <w:noWrap/>
            <w:vAlign w:val="bottom"/>
            <w:hideMark/>
          </w:tcPr>
          <w:p w:rsidR="0017703B" w:rsidRPr="00F5492F" w:rsidRDefault="0017703B" w:rsidP="00F5492F">
            <w:pPr>
              <w:spacing w:after="0" w:line="240" w:lineRule="auto"/>
              <w:rPr>
                <w:rFonts w:ascii="Times New Roman" w:hAnsi="Times New Roman" w:cs="Times New Roman"/>
                <w:color w:val="000000"/>
                <w:sz w:val="20"/>
                <w:szCs w:val="20"/>
              </w:rPr>
            </w:pPr>
            <w:r w:rsidRPr="00F5492F">
              <w:rPr>
                <w:rFonts w:ascii="Times New Roman" w:hAnsi="Times New Roman" w:cs="Times New Roman"/>
                <w:color w:val="000000"/>
                <w:sz w:val="20"/>
                <w:szCs w:val="20"/>
              </w:rPr>
              <w:t>Базовий сценарій</w:t>
            </w:r>
          </w:p>
        </w:tc>
        <w:tc>
          <w:tcPr>
            <w:tcW w:w="849" w:type="dxa"/>
            <w:shd w:val="clear" w:color="000000" w:fill="FFFFFF"/>
            <w:vAlign w:val="bottom"/>
          </w:tcPr>
          <w:p w:rsidR="0017703B" w:rsidRPr="00F5492F" w:rsidRDefault="0017703B" w:rsidP="00F5492F">
            <w:pPr>
              <w:spacing w:after="0" w:line="240" w:lineRule="auto"/>
              <w:jc w:val="center"/>
              <w:rPr>
                <w:rFonts w:ascii="Times New Roman" w:hAnsi="Times New Roman" w:cs="Times New Roman"/>
                <w:color w:val="000000"/>
                <w:sz w:val="20"/>
                <w:szCs w:val="20"/>
              </w:rPr>
            </w:pPr>
            <w:r w:rsidRPr="00F5492F">
              <w:rPr>
                <w:rFonts w:ascii="Times New Roman" w:hAnsi="Times New Roman" w:cs="Times New Roman"/>
                <w:color w:val="000000"/>
                <w:sz w:val="20"/>
                <w:szCs w:val="20"/>
              </w:rPr>
              <w:t>0,38</w:t>
            </w:r>
          </w:p>
        </w:tc>
        <w:tc>
          <w:tcPr>
            <w:tcW w:w="889" w:type="dxa"/>
            <w:shd w:val="clear" w:color="000000" w:fill="FFFFFF"/>
            <w:noWrap/>
            <w:vAlign w:val="bottom"/>
            <w:hideMark/>
          </w:tcPr>
          <w:p w:rsidR="0017703B" w:rsidRPr="00F5492F" w:rsidRDefault="0017703B" w:rsidP="00F5492F">
            <w:pPr>
              <w:spacing w:after="0" w:line="240" w:lineRule="auto"/>
              <w:jc w:val="center"/>
              <w:rPr>
                <w:rFonts w:ascii="Times New Roman" w:hAnsi="Times New Roman" w:cs="Times New Roman"/>
                <w:color w:val="000000"/>
                <w:sz w:val="20"/>
                <w:szCs w:val="20"/>
              </w:rPr>
            </w:pPr>
            <w:r w:rsidRPr="00F5492F">
              <w:rPr>
                <w:rFonts w:ascii="Times New Roman" w:hAnsi="Times New Roman" w:cs="Times New Roman"/>
                <w:color w:val="000000"/>
                <w:sz w:val="20"/>
                <w:szCs w:val="20"/>
              </w:rPr>
              <w:t>0,68</w:t>
            </w:r>
          </w:p>
        </w:tc>
        <w:tc>
          <w:tcPr>
            <w:tcW w:w="890" w:type="dxa"/>
            <w:shd w:val="clear" w:color="000000" w:fill="FFFFFF"/>
            <w:noWrap/>
            <w:vAlign w:val="bottom"/>
            <w:hideMark/>
          </w:tcPr>
          <w:p w:rsidR="0017703B" w:rsidRPr="00F5492F" w:rsidRDefault="0017703B" w:rsidP="00F5492F">
            <w:pPr>
              <w:spacing w:after="0" w:line="240" w:lineRule="auto"/>
              <w:jc w:val="center"/>
              <w:rPr>
                <w:rFonts w:ascii="Times New Roman" w:hAnsi="Times New Roman" w:cs="Times New Roman"/>
                <w:color w:val="000000"/>
                <w:sz w:val="20"/>
                <w:szCs w:val="20"/>
              </w:rPr>
            </w:pPr>
            <w:r w:rsidRPr="00F5492F">
              <w:rPr>
                <w:rFonts w:ascii="Times New Roman" w:hAnsi="Times New Roman" w:cs="Times New Roman"/>
                <w:color w:val="000000"/>
                <w:sz w:val="20"/>
                <w:szCs w:val="20"/>
              </w:rPr>
              <w:t>0,43</w:t>
            </w:r>
          </w:p>
        </w:tc>
        <w:tc>
          <w:tcPr>
            <w:tcW w:w="891" w:type="dxa"/>
            <w:shd w:val="clear" w:color="000000" w:fill="FFFFFF"/>
            <w:noWrap/>
            <w:vAlign w:val="bottom"/>
            <w:hideMark/>
          </w:tcPr>
          <w:p w:rsidR="0017703B" w:rsidRPr="00F5492F" w:rsidRDefault="0017703B" w:rsidP="00F5492F">
            <w:pPr>
              <w:spacing w:after="0" w:line="240" w:lineRule="auto"/>
              <w:jc w:val="center"/>
              <w:rPr>
                <w:rFonts w:ascii="Times New Roman" w:hAnsi="Times New Roman" w:cs="Times New Roman"/>
                <w:color w:val="000000"/>
                <w:sz w:val="20"/>
                <w:szCs w:val="20"/>
              </w:rPr>
            </w:pPr>
            <w:r w:rsidRPr="00F5492F">
              <w:rPr>
                <w:rFonts w:ascii="Times New Roman" w:hAnsi="Times New Roman" w:cs="Times New Roman"/>
                <w:color w:val="000000"/>
                <w:sz w:val="20"/>
                <w:szCs w:val="20"/>
              </w:rPr>
              <w:t>0,57</w:t>
            </w:r>
          </w:p>
        </w:tc>
        <w:tc>
          <w:tcPr>
            <w:tcW w:w="890" w:type="dxa"/>
            <w:shd w:val="clear" w:color="000000" w:fill="FFFFFF"/>
            <w:noWrap/>
            <w:vAlign w:val="bottom"/>
            <w:hideMark/>
          </w:tcPr>
          <w:p w:rsidR="0017703B" w:rsidRPr="00F5492F" w:rsidRDefault="0017703B" w:rsidP="00F5492F">
            <w:pPr>
              <w:spacing w:after="0" w:line="240" w:lineRule="auto"/>
              <w:jc w:val="center"/>
              <w:rPr>
                <w:rFonts w:ascii="Times New Roman" w:hAnsi="Times New Roman" w:cs="Times New Roman"/>
                <w:color w:val="000000"/>
                <w:sz w:val="20"/>
                <w:szCs w:val="20"/>
              </w:rPr>
            </w:pPr>
            <w:r w:rsidRPr="00F5492F">
              <w:rPr>
                <w:rFonts w:ascii="Times New Roman" w:hAnsi="Times New Roman" w:cs="Times New Roman"/>
                <w:color w:val="000000"/>
                <w:sz w:val="20"/>
                <w:szCs w:val="20"/>
              </w:rPr>
              <w:t>0,92</w:t>
            </w:r>
          </w:p>
        </w:tc>
        <w:tc>
          <w:tcPr>
            <w:tcW w:w="891" w:type="dxa"/>
            <w:shd w:val="clear" w:color="000000" w:fill="FFFFFF"/>
            <w:noWrap/>
            <w:vAlign w:val="bottom"/>
            <w:hideMark/>
          </w:tcPr>
          <w:p w:rsidR="0017703B" w:rsidRPr="00F5492F" w:rsidRDefault="0017703B" w:rsidP="00F5492F">
            <w:pPr>
              <w:spacing w:after="0" w:line="240" w:lineRule="auto"/>
              <w:jc w:val="center"/>
              <w:rPr>
                <w:rFonts w:ascii="Times New Roman" w:hAnsi="Times New Roman" w:cs="Times New Roman"/>
                <w:color w:val="000000"/>
                <w:sz w:val="20"/>
                <w:szCs w:val="20"/>
              </w:rPr>
            </w:pPr>
            <w:r w:rsidRPr="00F5492F">
              <w:rPr>
                <w:rFonts w:ascii="Times New Roman" w:hAnsi="Times New Roman" w:cs="Times New Roman"/>
                <w:color w:val="000000"/>
                <w:sz w:val="20"/>
                <w:szCs w:val="20"/>
              </w:rPr>
              <w:t>1,07</w:t>
            </w:r>
          </w:p>
        </w:tc>
        <w:tc>
          <w:tcPr>
            <w:tcW w:w="890" w:type="dxa"/>
            <w:shd w:val="clear" w:color="000000" w:fill="FFFFFF"/>
            <w:vAlign w:val="bottom"/>
          </w:tcPr>
          <w:p w:rsidR="0017703B" w:rsidRPr="00F5492F" w:rsidRDefault="0017703B" w:rsidP="00F5492F">
            <w:pPr>
              <w:spacing w:after="0" w:line="240" w:lineRule="auto"/>
              <w:jc w:val="center"/>
              <w:rPr>
                <w:rFonts w:ascii="Times New Roman" w:hAnsi="Times New Roman" w:cs="Times New Roman"/>
                <w:color w:val="000000"/>
                <w:sz w:val="20"/>
                <w:szCs w:val="20"/>
              </w:rPr>
            </w:pPr>
            <w:r w:rsidRPr="00F5492F">
              <w:rPr>
                <w:rFonts w:ascii="Times New Roman" w:hAnsi="Times New Roman" w:cs="Times New Roman"/>
                <w:color w:val="000000"/>
                <w:sz w:val="20"/>
                <w:szCs w:val="20"/>
              </w:rPr>
              <w:t>0,66</w:t>
            </w:r>
          </w:p>
        </w:tc>
      </w:tr>
      <w:tr w:rsidR="0017703B" w:rsidRPr="00052B5D" w:rsidTr="00C4052A">
        <w:trPr>
          <w:trHeight w:val="264"/>
        </w:trPr>
        <w:tc>
          <w:tcPr>
            <w:tcW w:w="3449" w:type="dxa"/>
            <w:shd w:val="clear" w:color="000000" w:fill="FFFFFF"/>
            <w:noWrap/>
            <w:vAlign w:val="bottom"/>
            <w:hideMark/>
          </w:tcPr>
          <w:p w:rsidR="0017703B" w:rsidRPr="00F5492F" w:rsidRDefault="0017703B" w:rsidP="00F5492F">
            <w:pPr>
              <w:spacing w:after="0" w:line="240" w:lineRule="auto"/>
              <w:rPr>
                <w:rFonts w:ascii="Times New Roman" w:hAnsi="Times New Roman" w:cs="Times New Roman"/>
                <w:color w:val="000000"/>
                <w:sz w:val="20"/>
                <w:szCs w:val="20"/>
              </w:rPr>
            </w:pPr>
            <w:r w:rsidRPr="00F5492F">
              <w:rPr>
                <w:rFonts w:ascii="Times New Roman" w:hAnsi="Times New Roman" w:cs="Times New Roman"/>
                <w:color w:val="000000"/>
                <w:sz w:val="20"/>
                <w:szCs w:val="20"/>
              </w:rPr>
              <w:t>Песимістичний сценарій</w:t>
            </w:r>
          </w:p>
        </w:tc>
        <w:tc>
          <w:tcPr>
            <w:tcW w:w="849" w:type="dxa"/>
            <w:shd w:val="clear" w:color="000000" w:fill="FFFFFF"/>
            <w:vAlign w:val="bottom"/>
          </w:tcPr>
          <w:p w:rsidR="0017703B" w:rsidRPr="00F5492F" w:rsidRDefault="0017703B" w:rsidP="00F5492F">
            <w:pPr>
              <w:spacing w:after="0" w:line="240" w:lineRule="auto"/>
              <w:jc w:val="center"/>
              <w:rPr>
                <w:rFonts w:ascii="Times New Roman" w:hAnsi="Times New Roman" w:cs="Times New Roman"/>
                <w:color w:val="000000"/>
                <w:sz w:val="20"/>
                <w:szCs w:val="20"/>
              </w:rPr>
            </w:pPr>
            <w:r w:rsidRPr="00F5492F">
              <w:rPr>
                <w:rFonts w:ascii="Times New Roman" w:hAnsi="Times New Roman" w:cs="Times New Roman"/>
                <w:color w:val="000000"/>
                <w:sz w:val="20"/>
                <w:szCs w:val="20"/>
              </w:rPr>
              <w:t>0,38</w:t>
            </w:r>
          </w:p>
        </w:tc>
        <w:tc>
          <w:tcPr>
            <w:tcW w:w="889" w:type="dxa"/>
            <w:shd w:val="clear" w:color="000000" w:fill="FFFFFF"/>
            <w:noWrap/>
            <w:vAlign w:val="bottom"/>
            <w:hideMark/>
          </w:tcPr>
          <w:p w:rsidR="0017703B" w:rsidRPr="00F5492F" w:rsidRDefault="0017703B" w:rsidP="00F5492F">
            <w:pPr>
              <w:spacing w:after="0" w:line="240" w:lineRule="auto"/>
              <w:jc w:val="center"/>
              <w:rPr>
                <w:rFonts w:ascii="Times New Roman" w:hAnsi="Times New Roman" w:cs="Times New Roman"/>
                <w:color w:val="000000"/>
                <w:sz w:val="20"/>
                <w:szCs w:val="20"/>
              </w:rPr>
            </w:pPr>
            <w:r w:rsidRPr="00F5492F">
              <w:rPr>
                <w:rFonts w:ascii="Times New Roman" w:hAnsi="Times New Roman" w:cs="Times New Roman"/>
                <w:color w:val="000000"/>
                <w:sz w:val="20"/>
                <w:szCs w:val="20"/>
              </w:rPr>
              <w:t>0,68</w:t>
            </w:r>
          </w:p>
        </w:tc>
        <w:tc>
          <w:tcPr>
            <w:tcW w:w="890" w:type="dxa"/>
            <w:shd w:val="clear" w:color="000000" w:fill="FFFFFF"/>
            <w:noWrap/>
            <w:vAlign w:val="bottom"/>
            <w:hideMark/>
          </w:tcPr>
          <w:p w:rsidR="0017703B" w:rsidRPr="00F5492F" w:rsidRDefault="0017703B" w:rsidP="00F5492F">
            <w:pPr>
              <w:spacing w:after="0" w:line="240" w:lineRule="auto"/>
              <w:jc w:val="center"/>
              <w:rPr>
                <w:rFonts w:ascii="Times New Roman" w:hAnsi="Times New Roman" w:cs="Times New Roman"/>
                <w:color w:val="000000"/>
                <w:sz w:val="20"/>
                <w:szCs w:val="20"/>
              </w:rPr>
            </w:pPr>
            <w:r w:rsidRPr="00F5492F">
              <w:rPr>
                <w:rFonts w:ascii="Times New Roman" w:hAnsi="Times New Roman" w:cs="Times New Roman"/>
                <w:color w:val="000000"/>
                <w:sz w:val="20"/>
                <w:szCs w:val="20"/>
              </w:rPr>
              <w:t>0,43</w:t>
            </w:r>
          </w:p>
        </w:tc>
        <w:tc>
          <w:tcPr>
            <w:tcW w:w="891" w:type="dxa"/>
            <w:shd w:val="clear" w:color="000000" w:fill="FFFFFF"/>
            <w:noWrap/>
            <w:vAlign w:val="bottom"/>
            <w:hideMark/>
          </w:tcPr>
          <w:p w:rsidR="0017703B" w:rsidRPr="00F5492F" w:rsidRDefault="0017703B" w:rsidP="00F5492F">
            <w:pPr>
              <w:spacing w:after="0" w:line="240" w:lineRule="auto"/>
              <w:jc w:val="center"/>
              <w:rPr>
                <w:rFonts w:ascii="Times New Roman" w:hAnsi="Times New Roman" w:cs="Times New Roman"/>
                <w:color w:val="000000"/>
                <w:sz w:val="20"/>
                <w:szCs w:val="20"/>
              </w:rPr>
            </w:pPr>
            <w:r w:rsidRPr="00F5492F">
              <w:rPr>
                <w:rFonts w:ascii="Times New Roman" w:hAnsi="Times New Roman" w:cs="Times New Roman"/>
                <w:color w:val="000000"/>
                <w:sz w:val="20"/>
                <w:szCs w:val="20"/>
              </w:rPr>
              <w:t>0,57</w:t>
            </w:r>
          </w:p>
        </w:tc>
        <w:tc>
          <w:tcPr>
            <w:tcW w:w="890" w:type="dxa"/>
            <w:shd w:val="clear" w:color="000000" w:fill="FFFFFF"/>
            <w:noWrap/>
            <w:vAlign w:val="bottom"/>
            <w:hideMark/>
          </w:tcPr>
          <w:p w:rsidR="0017703B" w:rsidRPr="00F5492F" w:rsidRDefault="0017703B" w:rsidP="00F5492F">
            <w:pPr>
              <w:spacing w:after="0" w:line="240" w:lineRule="auto"/>
              <w:jc w:val="center"/>
              <w:rPr>
                <w:rFonts w:ascii="Times New Roman" w:hAnsi="Times New Roman" w:cs="Times New Roman"/>
                <w:color w:val="000000"/>
                <w:sz w:val="20"/>
                <w:szCs w:val="20"/>
              </w:rPr>
            </w:pPr>
            <w:r w:rsidRPr="00F5492F">
              <w:rPr>
                <w:rFonts w:ascii="Times New Roman" w:hAnsi="Times New Roman" w:cs="Times New Roman"/>
                <w:color w:val="000000"/>
                <w:sz w:val="20"/>
                <w:szCs w:val="20"/>
              </w:rPr>
              <w:t>0,92</w:t>
            </w:r>
          </w:p>
        </w:tc>
        <w:tc>
          <w:tcPr>
            <w:tcW w:w="891" w:type="dxa"/>
            <w:shd w:val="clear" w:color="000000" w:fill="FFFFFF"/>
            <w:noWrap/>
            <w:vAlign w:val="bottom"/>
            <w:hideMark/>
          </w:tcPr>
          <w:p w:rsidR="0017703B" w:rsidRPr="00F5492F" w:rsidRDefault="0017703B" w:rsidP="00F5492F">
            <w:pPr>
              <w:spacing w:after="0" w:line="240" w:lineRule="auto"/>
              <w:jc w:val="center"/>
              <w:rPr>
                <w:rFonts w:ascii="Times New Roman" w:hAnsi="Times New Roman" w:cs="Times New Roman"/>
                <w:color w:val="000000"/>
                <w:sz w:val="20"/>
                <w:szCs w:val="20"/>
              </w:rPr>
            </w:pPr>
            <w:r w:rsidRPr="00F5492F">
              <w:rPr>
                <w:rFonts w:ascii="Times New Roman" w:hAnsi="Times New Roman" w:cs="Times New Roman"/>
                <w:color w:val="000000"/>
                <w:sz w:val="20"/>
                <w:szCs w:val="20"/>
              </w:rPr>
              <w:t>1,08</w:t>
            </w:r>
          </w:p>
        </w:tc>
        <w:tc>
          <w:tcPr>
            <w:tcW w:w="890" w:type="dxa"/>
            <w:shd w:val="clear" w:color="000000" w:fill="FFFFFF"/>
            <w:vAlign w:val="bottom"/>
          </w:tcPr>
          <w:p w:rsidR="0017703B" w:rsidRPr="00F5492F" w:rsidRDefault="0017703B" w:rsidP="00F5492F">
            <w:pPr>
              <w:spacing w:after="0" w:line="240" w:lineRule="auto"/>
              <w:jc w:val="center"/>
              <w:rPr>
                <w:rFonts w:ascii="Times New Roman" w:hAnsi="Times New Roman" w:cs="Times New Roman"/>
                <w:color w:val="000000"/>
                <w:sz w:val="20"/>
                <w:szCs w:val="20"/>
              </w:rPr>
            </w:pPr>
            <w:r w:rsidRPr="00F5492F">
              <w:rPr>
                <w:rFonts w:ascii="Times New Roman" w:hAnsi="Times New Roman" w:cs="Times New Roman"/>
                <w:color w:val="000000"/>
                <w:sz w:val="20"/>
                <w:szCs w:val="20"/>
              </w:rPr>
              <w:t>0,48</w:t>
            </w:r>
          </w:p>
        </w:tc>
      </w:tr>
    </w:tbl>
    <w:p w:rsidR="0017703B" w:rsidRDefault="0017703B" w:rsidP="0017703B">
      <w:pPr>
        <w:pStyle w:val="af1"/>
        <w:spacing w:after="120"/>
        <w:jc w:val="both"/>
        <w:rPr>
          <w:rFonts w:ascii="Times New Roman" w:hAnsi="Times New Roman" w:cs="Times New Roman"/>
          <w:lang w:val="uk-UA"/>
        </w:rPr>
      </w:pPr>
      <w:r w:rsidRPr="00356066">
        <w:rPr>
          <w:noProof/>
          <w:sz w:val="20"/>
          <w:lang w:val="uk-UA" w:eastAsia="uk-UA" w:bidi="ar-SA"/>
        </w:rPr>
        <w:drawing>
          <wp:inline distT="0" distB="0" distL="0" distR="0" wp14:anchorId="60EF60C9" wp14:editId="5A60E0A6">
            <wp:extent cx="4544060" cy="1517073"/>
            <wp:effectExtent l="0" t="0" r="8890" b="6985"/>
            <wp:docPr id="13" name="Діаграма 13">
              <a:extLst xmlns:a="http://schemas.openxmlformats.org/drawingml/2006/main">
                <a:ext uri="{FF2B5EF4-FFF2-40B4-BE49-F238E27FC236}">
                  <a16:creationId xmlns:a16="http://schemas.microsoft.com/office/drawing/2014/main" id="{00000000-0008-0000-0B00-00000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17703B" w:rsidRPr="00FF303D" w:rsidRDefault="0017703B" w:rsidP="003B098D">
      <w:pPr>
        <w:pStyle w:val="af1"/>
        <w:ind w:firstLine="567"/>
        <w:jc w:val="both"/>
        <w:rPr>
          <w:rFonts w:ascii="Times New Roman" w:hAnsi="Times New Roman" w:cs="Times New Roman"/>
          <w:sz w:val="24"/>
          <w:lang w:val="uk-UA"/>
        </w:rPr>
      </w:pPr>
      <w:r w:rsidRPr="00FF303D">
        <w:rPr>
          <w:rFonts w:ascii="Times New Roman" w:hAnsi="Times New Roman" w:cs="Times New Roman"/>
          <w:sz w:val="24"/>
          <w:lang w:val="uk-UA"/>
        </w:rPr>
        <w:t>За обома сценаріями у 2021 – 2023 роках очікується покращення показника поточної ліквідності АТ «Укрзалізниця», зокрема за рахунок залучення позикових коштів, водночас, значення показника залишається низьким, що свідчить про обмеженість обігових коштів Товариства. У 2024 році очікується погіршення вказаного показника, що свідчить про необхідність залучення Товариством додаткових коштів для фінансування своєї діяльності та виконання поточних зобов’язань.</w:t>
      </w:r>
    </w:p>
    <w:p w:rsidR="0017703B" w:rsidRDefault="0017703B" w:rsidP="003B098D">
      <w:pPr>
        <w:spacing w:after="0" w:line="240" w:lineRule="auto"/>
        <w:ind w:firstLine="567"/>
        <w:jc w:val="both"/>
        <w:rPr>
          <w:rFonts w:ascii="Times New Roman" w:eastAsia="Arial" w:hAnsi="Times New Roman" w:cs="Times New Roman"/>
          <w:sz w:val="24"/>
          <w:lang w:bidi="en-US"/>
        </w:rPr>
      </w:pPr>
      <w:r w:rsidRPr="00FF303D">
        <w:rPr>
          <w:rFonts w:ascii="Times New Roman" w:eastAsia="Arial" w:hAnsi="Times New Roman" w:cs="Times New Roman"/>
          <w:sz w:val="24"/>
          <w:lang w:bidi="en-US"/>
        </w:rPr>
        <w:t>Таким чином, за умов базового та песимістичного сценаріїв в 2021 – 2024 роках очікується збиткова діяльність АТ «Укрзалізниця», що негативно відобразиться на фінансовому стані Товариства та обсягах сплати до державного бюджету відповідних податків та платежів.</w:t>
      </w:r>
    </w:p>
    <w:p w:rsidR="0017703B" w:rsidRDefault="0017703B" w:rsidP="003B098D">
      <w:pPr>
        <w:pStyle w:val="af1"/>
        <w:ind w:firstLine="567"/>
        <w:jc w:val="both"/>
        <w:rPr>
          <w:rFonts w:ascii="Times New Roman" w:hAnsi="Times New Roman" w:cs="Times New Roman"/>
          <w:sz w:val="24"/>
          <w:lang w:val="uk-UA"/>
        </w:rPr>
      </w:pPr>
      <w:r w:rsidRPr="00FF303D">
        <w:rPr>
          <w:rFonts w:ascii="Times New Roman" w:hAnsi="Times New Roman" w:cs="Times New Roman"/>
          <w:sz w:val="24"/>
          <w:lang w:val="uk-UA"/>
        </w:rPr>
        <w:t>Наведена вище інформація про очікувані показники діяльності АТ «Укрзалізниця» у</w:t>
      </w:r>
      <w:r w:rsidRPr="00FF303D">
        <w:rPr>
          <w:rFonts w:ascii="Times New Roman" w:hAnsi="Times New Roman" w:cs="Times New Roman"/>
          <w:sz w:val="24"/>
          <w:lang w:val="uk-UA"/>
        </w:rPr>
        <w:br/>
        <w:t>2021 – 2024 роках є розрахунковою, не враховує усіх можливих доходів та витрат Товариства, відображає можливий тренд фінансових прогнозів за умов реалізації різних сценаріїв та може відхилятись від фактичної ситуації внаслідок впливу не врахованих у сценаріях подій та не може розглядатись як гарантія настання таких подій у майбутньому.</w:t>
      </w:r>
    </w:p>
    <w:p w:rsidR="00FB1CE5" w:rsidRPr="00FB1CE5" w:rsidRDefault="00FB1CE5" w:rsidP="003B098D">
      <w:pPr>
        <w:pStyle w:val="af1"/>
        <w:ind w:firstLine="567"/>
        <w:jc w:val="both"/>
        <w:rPr>
          <w:rFonts w:ascii="Times New Roman" w:hAnsi="Times New Roman" w:cs="Times New Roman"/>
          <w:sz w:val="18"/>
          <w:szCs w:val="18"/>
          <w:lang w:val="uk-UA"/>
        </w:rPr>
      </w:pPr>
    </w:p>
    <w:p w:rsidR="0017703B" w:rsidRPr="00C20695" w:rsidRDefault="0017703B" w:rsidP="0018706D">
      <w:pPr>
        <w:pStyle w:val="af1"/>
        <w:spacing w:before="120" w:after="120"/>
        <w:jc w:val="center"/>
        <w:rPr>
          <w:rFonts w:ascii="Times New Roman" w:hAnsi="Times New Roman" w:cs="Times New Roman"/>
          <w:b/>
          <w:i/>
          <w:sz w:val="24"/>
          <w:lang w:val="uk-UA"/>
        </w:rPr>
      </w:pPr>
      <w:r w:rsidRPr="00C20695">
        <w:rPr>
          <w:rFonts w:ascii="Times New Roman" w:hAnsi="Times New Roman" w:cs="Times New Roman"/>
          <w:b/>
          <w:i/>
          <w:sz w:val="24"/>
          <w:lang w:val="uk-UA"/>
        </w:rPr>
        <w:t>НЕК «Укренерго»</w:t>
      </w:r>
    </w:p>
    <w:p w:rsidR="0017703B" w:rsidRPr="00FF303D" w:rsidRDefault="0017703B" w:rsidP="00FF303D">
      <w:pPr>
        <w:pStyle w:val="af1"/>
        <w:ind w:firstLine="567"/>
        <w:jc w:val="both"/>
        <w:rPr>
          <w:rFonts w:ascii="Times New Roman" w:hAnsi="Times New Roman" w:cs="Times New Roman"/>
          <w:sz w:val="24"/>
          <w:lang w:val="uk-UA"/>
        </w:rPr>
      </w:pPr>
      <w:r w:rsidRPr="00FF303D">
        <w:rPr>
          <w:rFonts w:ascii="Times New Roman" w:hAnsi="Times New Roman" w:cs="Times New Roman"/>
          <w:sz w:val="24"/>
          <w:lang w:val="uk-UA"/>
        </w:rPr>
        <w:t>НЕК «Укренерго» (далі – Компанія) є суб’єктом природної монополії у сфері передачі електричної енергії магістральними електричними мережами.</w:t>
      </w:r>
    </w:p>
    <w:p w:rsidR="0017703B" w:rsidRPr="00FF303D" w:rsidRDefault="0017703B" w:rsidP="00FF303D">
      <w:pPr>
        <w:pStyle w:val="af1"/>
        <w:ind w:firstLine="567"/>
        <w:jc w:val="both"/>
        <w:rPr>
          <w:rFonts w:ascii="Times New Roman" w:hAnsi="Times New Roman" w:cs="Times New Roman"/>
          <w:sz w:val="24"/>
          <w:lang w:val="uk-UA"/>
        </w:rPr>
      </w:pPr>
      <w:r w:rsidRPr="00FF303D">
        <w:rPr>
          <w:rFonts w:ascii="Times New Roman" w:hAnsi="Times New Roman" w:cs="Times New Roman"/>
          <w:sz w:val="24"/>
          <w:lang w:val="uk-UA"/>
        </w:rPr>
        <w:t>Тарифи Компанії на передачу електричної енергії та диспетчерське управління регулюються та затверджуються Національною комісією, що здійснює державне регулювання у сферах енергетики та комунальних послуг.</w:t>
      </w:r>
    </w:p>
    <w:p w:rsidR="0017703B" w:rsidRPr="00FF303D" w:rsidRDefault="0017703B" w:rsidP="00FF303D">
      <w:pPr>
        <w:pStyle w:val="af1"/>
        <w:ind w:firstLine="567"/>
        <w:jc w:val="both"/>
        <w:rPr>
          <w:rFonts w:ascii="Times New Roman" w:hAnsi="Times New Roman" w:cs="Times New Roman"/>
          <w:sz w:val="24"/>
          <w:lang w:val="uk-UA"/>
        </w:rPr>
      </w:pPr>
      <w:r w:rsidRPr="00FF303D">
        <w:rPr>
          <w:rFonts w:ascii="Times New Roman" w:hAnsi="Times New Roman" w:cs="Times New Roman"/>
          <w:sz w:val="24"/>
          <w:lang w:val="uk-UA"/>
        </w:rPr>
        <w:t>З липня 2019 року на Компанію покладено спеціальні обов’язки для забезпечення загальносуспільного інтересу із збільшення частки виробництва енергії з альтернативних джерел.</w:t>
      </w:r>
    </w:p>
    <w:p w:rsidR="0017703B" w:rsidRPr="00FF303D" w:rsidRDefault="0017703B" w:rsidP="00FF303D">
      <w:pPr>
        <w:pStyle w:val="af1"/>
        <w:ind w:firstLine="567"/>
        <w:jc w:val="both"/>
        <w:rPr>
          <w:rFonts w:ascii="Times New Roman" w:hAnsi="Times New Roman" w:cs="Times New Roman"/>
          <w:sz w:val="24"/>
          <w:lang w:val="uk-UA"/>
        </w:rPr>
      </w:pPr>
      <w:r w:rsidRPr="00FF303D">
        <w:rPr>
          <w:rFonts w:ascii="Times New Roman" w:hAnsi="Times New Roman" w:cs="Times New Roman"/>
          <w:sz w:val="24"/>
          <w:lang w:val="uk-UA"/>
        </w:rPr>
        <w:t>Моделювання результатів діяльності НЕК «Укренерго» здійснювалось на підставі інформації Компанії щодо очікувань у 2021 – 2024 роках.</w:t>
      </w:r>
    </w:p>
    <w:p w:rsidR="0017703B" w:rsidRPr="00FF303D" w:rsidRDefault="0017703B" w:rsidP="00FF303D">
      <w:pPr>
        <w:pStyle w:val="af1"/>
        <w:spacing w:before="120" w:after="120"/>
        <w:ind w:firstLine="567"/>
        <w:jc w:val="center"/>
        <w:rPr>
          <w:rFonts w:ascii="Times New Roman" w:hAnsi="Times New Roman" w:cs="Times New Roman"/>
          <w:b/>
          <w:i/>
          <w:lang w:val="uk-UA"/>
        </w:rPr>
      </w:pPr>
      <w:r w:rsidRPr="00FF303D">
        <w:rPr>
          <w:rFonts w:ascii="Times New Roman" w:hAnsi="Times New Roman" w:cs="Times New Roman"/>
          <w:b/>
          <w:i/>
          <w:lang w:val="uk-UA"/>
        </w:rPr>
        <w:t>Основні припущення для базового та песимістичного сценаріїв</w:t>
      </w:r>
    </w:p>
    <w:tbl>
      <w:tblPr>
        <w:tblStyle w:val="a3"/>
        <w:tblW w:w="0" w:type="auto"/>
        <w:tblLook w:val="04A0" w:firstRow="1" w:lastRow="0" w:firstColumn="1" w:lastColumn="0" w:noHBand="0" w:noVBand="1"/>
      </w:tblPr>
      <w:tblGrid>
        <w:gridCol w:w="4955"/>
        <w:gridCol w:w="4956"/>
      </w:tblGrid>
      <w:tr w:rsidR="0017703B" w:rsidRPr="00FF303D" w:rsidTr="00C4052A">
        <w:tc>
          <w:tcPr>
            <w:tcW w:w="4955" w:type="dxa"/>
            <w:shd w:val="clear" w:color="auto" w:fill="FFC000"/>
          </w:tcPr>
          <w:p w:rsidR="0017703B" w:rsidRPr="00FF303D" w:rsidRDefault="0017703B" w:rsidP="00FF303D">
            <w:pPr>
              <w:pStyle w:val="af1"/>
              <w:ind w:firstLine="567"/>
              <w:jc w:val="center"/>
              <w:rPr>
                <w:rFonts w:ascii="Times New Roman" w:hAnsi="Times New Roman" w:cs="Times New Roman"/>
                <w:sz w:val="20"/>
                <w:lang w:val="uk-UA"/>
              </w:rPr>
            </w:pPr>
            <w:r w:rsidRPr="00FF303D">
              <w:rPr>
                <w:rFonts w:ascii="Times New Roman" w:hAnsi="Times New Roman" w:cs="Times New Roman"/>
                <w:sz w:val="20"/>
                <w:lang w:val="uk-UA"/>
              </w:rPr>
              <w:t>Базовий</w:t>
            </w:r>
          </w:p>
        </w:tc>
        <w:tc>
          <w:tcPr>
            <w:tcW w:w="4956" w:type="dxa"/>
            <w:shd w:val="clear" w:color="auto" w:fill="BFBFBF" w:themeFill="background1" w:themeFillShade="BF"/>
          </w:tcPr>
          <w:p w:rsidR="0017703B" w:rsidRPr="00FF303D" w:rsidRDefault="0017703B" w:rsidP="00FF303D">
            <w:pPr>
              <w:pStyle w:val="af1"/>
              <w:ind w:firstLine="567"/>
              <w:jc w:val="center"/>
              <w:rPr>
                <w:rFonts w:ascii="Times New Roman" w:hAnsi="Times New Roman" w:cs="Times New Roman"/>
                <w:sz w:val="20"/>
                <w:lang w:val="uk-UA"/>
              </w:rPr>
            </w:pPr>
            <w:r w:rsidRPr="00FF303D">
              <w:rPr>
                <w:rFonts w:ascii="Times New Roman" w:hAnsi="Times New Roman" w:cs="Times New Roman"/>
                <w:sz w:val="20"/>
                <w:lang w:val="uk-UA"/>
              </w:rPr>
              <w:t>Песимістичний</w:t>
            </w:r>
          </w:p>
        </w:tc>
      </w:tr>
      <w:tr w:rsidR="0017703B" w:rsidRPr="00FF303D" w:rsidTr="00C4052A">
        <w:tc>
          <w:tcPr>
            <w:tcW w:w="4955" w:type="dxa"/>
          </w:tcPr>
          <w:p w:rsidR="0017703B" w:rsidRPr="00FF303D" w:rsidRDefault="0017703B" w:rsidP="00FF303D">
            <w:pPr>
              <w:pStyle w:val="af1"/>
              <w:jc w:val="both"/>
              <w:rPr>
                <w:rFonts w:ascii="Times New Roman" w:hAnsi="Times New Roman" w:cs="Times New Roman"/>
                <w:sz w:val="20"/>
                <w:lang w:val="uk-UA"/>
              </w:rPr>
            </w:pPr>
            <w:r w:rsidRPr="00FF303D">
              <w:rPr>
                <w:rFonts w:ascii="Times New Roman" w:hAnsi="Times New Roman" w:cs="Times New Roman"/>
                <w:sz w:val="20"/>
                <w:lang w:val="uk-UA"/>
              </w:rPr>
              <w:t>Прогноз щодо обсягів та цін реалізації послуг в 2021 – 2024 роках враховано відповідно до очікувань Компанії.</w:t>
            </w:r>
          </w:p>
        </w:tc>
        <w:tc>
          <w:tcPr>
            <w:tcW w:w="4956" w:type="dxa"/>
          </w:tcPr>
          <w:p w:rsidR="0017703B" w:rsidRPr="00FF303D" w:rsidRDefault="0017703B" w:rsidP="00FF303D">
            <w:pPr>
              <w:pStyle w:val="af1"/>
              <w:jc w:val="both"/>
              <w:rPr>
                <w:rFonts w:ascii="Times New Roman" w:hAnsi="Times New Roman" w:cs="Times New Roman"/>
                <w:sz w:val="20"/>
                <w:lang w:val="uk-UA"/>
              </w:rPr>
            </w:pPr>
            <w:r w:rsidRPr="00FF303D">
              <w:rPr>
                <w:rFonts w:ascii="Times New Roman" w:hAnsi="Times New Roman" w:cs="Times New Roman"/>
                <w:sz w:val="20"/>
                <w:lang w:val="uk-UA"/>
              </w:rPr>
              <w:t>Прогноз щодо обсягів реалізації послуг у 2021 – 2024 роках враховано відповідно до очікувань Компанії, щодо цін реалізації послуг враховано припущення, що ціни не будуть зростати в 2022 – 2024 роках та залишаться на рівні 2021 року.</w:t>
            </w:r>
          </w:p>
        </w:tc>
      </w:tr>
      <w:tr w:rsidR="0017703B" w:rsidRPr="00FF303D" w:rsidTr="00C4052A">
        <w:tc>
          <w:tcPr>
            <w:tcW w:w="4955" w:type="dxa"/>
          </w:tcPr>
          <w:p w:rsidR="0017703B" w:rsidRPr="00FF303D" w:rsidRDefault="0017703B" w:rsidP="00FF303D">
            <w:pPr>
              <w:pStyle w:val="af1"/>
              <w:jc w:val="both"/>
              <w:rPr>
                <w:rFonts w:ascii="Times New Roman" w:hAnsi="Times New Roman" w:cs="Times New Roman"/>
                <w:sz w:val="20"/>
                <w:lang w:val="uk-UA"/>
              </w:rPr>
            </w:pPr>
            <w:r w:rsidRPr="00FF303D">
              <w:rPr>
                <w:rFonts w:ascii="Times New Roman" w:hAnsi="Times New Roman" w:cs="Times New Roman"/>
                <w:sz w:val="20"/>
                <w:lang w:val="uk-UA"/>
              </w:rPr>
              <w:t>Зростання операційних витрат в 2021 – 2024 роках враховано відповідно до очікувань Компанії.</w:t>
            </w:r>
          </w:p>
        </w:tc>
        <w:tc>
          <w:tcPr>
            <w:tcW w:w="4956" w:type="dxa"/>
          </w:tcPr>
          <w:p w:rsidR="0017703B" w:rsidRPr="00FF303D" w:rsidRDefault="0017703B" w:rsidP="00FF303D">
            <w:pPr>
              <w:pStyle w:val="af1"/>
              <w:jc w:val="both"/>
              <w:rPr>
                <w:rFonts w:ascii="Times New Roman" w:hAnsi="Times New Roman" w:cs="Times New Roman"/>
                <w:sz w:val="20"/>
                <w:lang w:val="uk-UA"/>
              </w:rPr>
            </w:pPr>
            <w:r w:rsidRPr="00FF303D">
              <w:rPr>
                <w:rFonts w:ascii="Times New Roman" w:hAnsi="Times New Roman" w:cs="Times New Roman"/>
                <w:sz w:val="20"/>
                <w:lang w:val="uk-UA"/>
              </w:rPr>
              <w:t>Очікування щодо зростання операційних витрат враховано відповідно до зростання споживчих цін та цін виробників за альтернативним сценарієм розвитку прогнозу, схваленого постановою Кабінету Міністрів України від 31.05.2021 № 586.</w:t>
            </w:r>
          </w:p>
        </w:tc>
      </w:tr>
      <w:tr w:rsidR="0017703B" w:rsidRPr="00FF303D" w:rsidTr="00C4052A">
        <w:tc>
          <w:tcPr>
            <w:tcW w:w="4955" w:type="dxa"/>
          </w:tcPr>
          <w:p w:rsidR="0017703B" w:rsidRPr="00FF303D" w:rsidRDefault="0017703B" w:rsidP="00FF303D">
            <w:pPr>
              <w:pStyle w:val="af1"/>
              <w:jc w:val="both"/>
              <w:rPr>
                <w:rFonts w:ascii="Times New Roman" w:hAnsi="Times New Roman" w:cs="Times New Roman"/>
                <w:sz w:val="20"/>
                <w:lang w:val="uk-UA"/>
              </w:rPr>
            </w:pPr>
            <w:r w:rsidRPr="00FF303D">
              <w:rPr>
                <w:rFonts w:ascii="Times New Roman" w:hAnsi="Times New Roman" w:cs="Times New Roman"/>
                <w:sz w:val="20"/>
                <w:lang w:val="uk-UA"/>
              </w:rPr>
              <w:t>Припущення щодо зміни валютного курсу враховано відповідно до прогнозу, схваленого постановою Кабінету Міністрів України від 31.05.2021 № 586.</w:t>
            </w:r>
          </w:p>
        </w:tc>
        <w:tc>
          <w:tcPr>
            <w:tcW w:w="4956" w:type="dxa"/>
          </w:tcPr>
          <w:p w:rsidR="0017703B" w:rsidRPr="00FF303D" w:rsidRDefault="0017703B" w:rsidP="00FF303D">
            <w:pPr>
              <w:pStyle w:val="af1"/>
              <w:jc w:val="both"/>
              <w:rPr>
                <w:rFonts w:ascii="Times New Roman" w:hAnsi="Times New Roman" w:cs="Times New Roman"/>
                <w:sz w:val="20"/>
                <w:lang w:val="uk-UA"/>
              </w:rPr>
            </w:pPr>
            <w:r w:rsidRPr="00FF303D">
              <w:rPr>
                <w:rFonts w:ascii="Times New Roman" w:hAnsi="Times New Roman" w:cs="Times New Roman"/>
                <w:sz w:val="20"/>
                <w:lang w:val="uk-UA"/>
              </w:rPr>
              <w:t>Припущення щодо зміни валютного курсу враховано на рівні +5% щороку порівняно із базовим сценарієм.</w:t>
            </w:r>
          </w:p>
        </w:tc>
      </w:tr>
    </w:tbl>
    <w:p w:rsidR="00D84E84" w:rsidRDefault="00D84E84" w:rsidP="00FF303D">
      <w:pPr>
        <w:pStyle w:val="af1"/>
        <w:spacing w:before="120"/>
        <w:jc w:val="center"/>
        <w:rPr>
          <w:rFonts w:ascii="Times New Roman" w:hAnsi="Times New Roman" w:cs="Times New Roman"/>
          <w:b/>
          <w:i/>
          <w:lang w:val="uk-UA"/>
        </w:rPr>
      </w:pPr>
    </w:p>
    <w:p w:rsidR="0017703B" w:rsidRPr="00FF303D" w:rsidRDefault="0017703B" w:rsidP="00FF303D">
      <w:pPr>
        <w:pStyle w:val="af1"/>
        <w:spacing w:before="120"/>
        <w:jc w:val="center"/>
        <w:rPr>
          <w:rFonts w:ascii="Times New Roman" w:hAnsi="Times New Roman" w:cs="Times New Roman"/>
          <w:b/>
          <w:i/>
          <w:lang w:val="uk-UA"/>
        </w:rPr>
      </w:pPr>
      <w:r w:rsidRPr="00FF303D">
        <w:rPr>
          <w:rFonts w:ascii="Times New Roman" w:hAnsi="Times New Roman" w:cs="Times New Roman"/>
          <w:b/>
          <w:i/>
          <w:lang w:val="uk-UA"/>
        </w:rPr>
        <w:t>Чистий прибуток (збиток) НЕК «Укренерго»</w:t>
      </w:r>
    </w:p>
    <w:p w:rsidR="0017703B" w:rsidRPr="00FF303D" w:rsidRDefault="0017703B" w:rsidP="00FF303D">
      <w:pPr>
        <w:pStyle w:val="af1"/>
        <w:ind w:right="282"/>
        <w:jc w:val="right"/>
        <w:rPr>
          <w:rFonts w:ascii="Times New Roman" w:hAnsi="Times New Roman" w:cs="Times New Roman"/>
          <w:i/>
          <w:sz w:val="20"/>
          <w:lang w:val="uk-UA"/>
        </w:rPr>
      </w:pPr>
      <w:r w:rsidRPr="00FF303D">
        <w:rPr>
          <w:rFonts w:ascii="Times New Roman" w:hAnsi="Times New Roman" w:cs="Times New Roman"/>
          <w:i/>
          <w:sz w:val="20"/>
          <w:lang w:val="uk-UA"/>
        </w:rPr>
        <w:t>(млн гривень)</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3"/>
        <w:gridCol w:w="935"/>
        <w:gridCol w:w="936"/>
        <w:gridCol w:w="937"/>
        <w:gridCol w:w="937"/>
        <w:gridCol w:w="937"/>
        <w:gridCol w:w="937"/>
        <w:gridCol w:w="937"/>
      </w:tblGrid>
      <w:tr w:rsidR="0017703B" w:rsidRPr="00FF303D" w:rsidTr="00FF303D">
        <w:trPr>
          <w:trHeight w:val="264"/>
        </w:trPr>
        <w:tc>
          <w:tcPr>
            <w:tcW w:w="3083" w:type="dxa"/>
            <w:shd w:val="clear" w:color="000000" w:fill="FFFFFF"/>
            <w:noWrap/>
            <w:vAlign w:val="bottom"/>
            <w:hideMark/>
          </w:tcPr>
          <w:p w:rsidR="0017703B" w:rsidRPr="00FF303D" w:rsidRDefault="0017703B" w:rsidP="00FF303D">
            <w:pPr>
              <w:spacing w:after="0" w:line="240" w:lineRule="auto"/>
              <w:rPr>
                <w:rFonts w:ascii="Times New Roman" w:hAnsi="Times New Roman" w:cs="Times New Roman"/>
                <w:color w:val="000000"/>
                <w:sz w:val="20"/>
                <w:szCs w:val="20"/>
              </w:rPr>
            </w:pPr>
          </w:p>
        </w:tc>
        <w:tc>
          <w:tcPr>
            <w:tcW w:w="935" w:type="dxa"/>
            <w:shd w:val="clear" w:color="000000" w:fill="FFFFFF"/>
            <w:noWrap/>
            <w:vAlign w:val="bottom"/>
            <w:hideMark/>
          </w:tcPr>
          <w:p w:rsidR="0017703B" w:rsidRPr="00C4052A" w:rsidRDefault="0017703B" w:rsidP="00C4052A">
            <w:pPr>
              <w:spacing w:after="0" w:line="240" w:lineRule="auto"/>
              <w:jc w:val="center"/>
              <w:rPr>
                <w:rFonts w:ascii="Times New Roman" w:hAnsi="Times New Roman" w:cs="Times New Roman"/>
                <w:b/>
                <w:color w:val="000000"/>
                <w:sz w:val="20"/>
                <w:szCs w:val="20"/>
              </w:rPr>
            </w:pPr>
            <w:r w:rsidRPr="00C4052A">
              <w:rPr>
                <w:rFonts w:ascii="Times New Roman" w:hAnsi="Times New Roman" w:cs="Times New Roman"/>
                <w:b/>
                <w:color w:val="000000"/>
                <w:sz w:val="20"/>
                <w:szCs w:val="20"/>
              </w:rPr>
              <w:t>2018</w:t>
            </w:r>
          </w:p>
        </w:tc>
        <w:tc>
          <w:tcPr>
            <w:tcW w:w="936" w:type="dxa"/>
            <w:shd w:val="clear" w:color="000000" w:fill="FFFFFF"/>
            <w:noWrap/>
            <w:vAlign w:val="bottom"/>
            <w:hideMark/>
          </w:tcPr>
          <w:p w:rsidR="0017703B" w:rsidRPr="00C4052A" w:rsidRDefault="0017703B" w:rsidP="00C4052A">
            <w:pPr>
              <w:spacing w:after="0" w:line="240" w:lineRule="auto"/>
              <w:jc w:val="center"/>
              <w:rPr>
                <w:rFonts w:ascii="Times New Roman" w:hAnsi="Times New Roman" w:cs="Times New Roman"/>
                <w:b/>
                <w:color w:val="000000"/>
                <w:sz w:val="20"/>
                <w:szCs w:val="20"/>
              </w:rPr>
            </w:pPr>
            <w:r w:rsidRPr="00C4052A">
              <w:rPr>
                <w:rFonts w:ascii="Times New Roman" w:hAnsi="Times New Roman" w:cs="Times New Roman"/>
                <w:b/>
                <w:color w:val="000000"/>
                <w:sz w:val="20"/>
                <w:szCs w:val="20"/>
              </w:rPr>
              <w:t>2019</w:t>
            </w:r>
          </w:p>
        </w:tc>
        <w:tc>
          <w:tcPr>
            <w:tcW w:w="937" w:type="dxa"/>
            <w:shd w:val="clear" w:color="000000" w:fill="FFFFFF"/>
            <w:noWrap/>
            <w:vAlign w:val="bottom"/>
            <w:hideMark/>
          </w:tcPr>
          <w:p w:rsidR="0017703B" w:rsidRPr="00C4052A" w:rsidRDefault="0017703B" w:rsidP="00C4052A">
            <w:pPr>
              <w:spacing w:after="0" w:line="240" w:lineRule="auto"/>
              <w:jc w:val="center"/>
              <w:rPr>
                <w:rFonts w:ascii="Times New Roman" w:hAnsi="Times New Roman" w:cs="Times New Roman"/>
                <w:b/>
                <w:color w:val="000000"/>
                <w:sz w:val="20"/>
                <w:szCs w:val="20"/>
              </w:rPr>
            </w:pPr>
            <w:r w:rsidRPr="00C4052A">
              <w:rPr>
                <w:rFonts w:ascii="Times New Roman" w:hAnsi="Times New Roman" w:cs="Times New Roman"/>
                <w:b/>
                <w:color w:val="000000"/>
                <w:sz w:val="20"/>
                <w:szCs w:val="20"/>
              </w:rPr>
              <w:t>2020</w:t>
            </w:r>
          </w:p>
        </w:tc>
        <w:tc>
          <w:tcPr>
            <w:tcW w:w="937" w:type="dxa"/>
            <w:shd w:val="clear" w:color="000000" w:fill="FFFFFF"/>
            <w:noWrap/>
            <w:vAlign w:val="bottom"/>
            <w:hideMark/>
          </w:tcPr>
          <w:p w:rsidR="0017703B" w:rsidRPr="00C4052A" w:rsidRDefault="0017703B" w:rsidP="00C4052A">
            <w:pPr>
              <w:spacing w:after="0" w:line="240" w:lineRule="auto"/>
              <w:jc w:val="center"/>
              <w:rPr>
                <w:rFonts w:ascii="Times New Roman" w:hAnsi="Times New Roman" w:cs="Times New Roman"/>
                <w:b/>
                <w:color w:val="000000"/>
                <w:sz w:val="20"/>
                <w:szCs w:val="20"/>
              </w:rPr>
            </w:pPr>
            <w:r w:rsidRPr="00C4052A">
              <w:rPr>
                <w:rFonts w:ascii="Times New Roman" w:hAnsi="Times New Roman" w:cs="Times New Roman"/>
                <w:b/>
                <w:color w:val="000000"/>
                <w:sz w:val="20"/>
                <w:szCs w:val="20"/>
              </w:rPr>
              <w:t>2021</w:t>
            </w:r>
          </w:p>
        </w:tc>
        <w:tc>
          <w:tcPr>
            <w:tcW w:w="937" w:type="dxa"/>
            <w:shd w:val="clear" w:color="000000" w:fill="FFFFFF"/>
            <w:noWrap/>
            <w:vAlign w:val="bottom"/>
            <w:hideMark/>
          </w:tcPr>
          <w:p w:rsidR="0017703B" w:rsidRPr="00C4052A" w:rsidRDefault="0017703B" w:rsidP="00C4052A">
            <w:pPr>
              <w:spacing w:after="0" w:line="240" w:lineRule="auto"/>
              <w:jc w:val="center"/>
              <w:rPr>
                <w:rFonts w:ascii="Times New Roman" w:hAnsi="Times New Roman" w:cs="Times New Roman"/>
                <w:b/>
                <w:color w:val="000000"/>
                <w:sz w:val="20"/>
                <w:szCs w:val="20"/>
              </w:rPr>
            </w:pPr>
            <w:r w:rsidRPr="00C4052A">
              <w:rPr>
                <w:rFonts w:ascii="Times New Roman" w:hAnsi="Times New Roman" w:cs="Times New Roman"/>
                <w:b/>
                <w:color w:val="000000"/>
                <w:sz w:val="20"/>
                <w:szCs w:val="20"/>
              </w:rPr>
              <w:t>2022</w:t>
            </w:r>
          </w:p>
        </w:tc>
        <w:tc>
          <w:tcPr>
            <w:tcW w:w="937" w:type="dxa"/>
            <w:shd w:val="clear" w:color="000000" w:fill="FFFFFF"/>
            <w:noWrap/>
            <w:vAlign w:val="bottom"/>
            <w:hideMark/>
          </w:tcPr>
          <w:p w:rsidR="0017703B" w:rsidRPr="00C4052A" w:rsidRDefault="0017703B" w:rsidP="00C4052A">
            <w:pPr>
              <w:spacing w:after="0" w:line="240" w:lineRule="auto"/>
              <w:jc w:val="center"/>
              <w:rPr>
                <w:rFonts w:ascii="Times New Roman" w:hAnsi="Times New Roman" w:cs="Times New Roman"/>
                <w:b/>
                <w:color w:val="000000"/>
                <w:sz w:val="20"/>
                <w:szCs w:val="20"/>
              </w:rPr>
            </w:pPr>
            <w:r w:rsidRPr="00C4052A">
              <w:rPr>
                <w:rFonts w:ascii="Times New Roman" w:hAnsi="Times New Roman" w:cs="Times New Roman"/>
                <w:b/>
                <w:color w:val="000000"/>
                <w:sz w:val="20"/>
                <w:szCs w:val="20"/>
              </w:rPr>
              <w:t>2023</w:t>
            </w:r>
          </w:p>
        </w:tc>
        <w:tc>
          <w:tcPr>
            <w:tcW w:w="937" w:type="dxa"/>
            <w:shd w:val="clear" w:color="000000" w:fill="FFFFFF"/>
            <w:noWrap/>
            <w:vAlign w:val="bottom"/>
            <w:hideMark/>
          </w:tcPr>
          <w:p w:rsidR="0017703B" w:rsidRPr="00C4052A" w:rsidRDefault="0017703B" w:rsidP="00C4052A">
            <w:pPr>
              <w:spacing w:after="0" w:line="240" w:lineRule="auto"/>
              <w:jc w:val="center"/>
              <w:rPr>
                <w:rFonts w:ascii="Times New Roman" w:hAnsi="Times New Roman" w:cs="Times New Roman"/>
                <w:b/>
                <w:color w:val="000000"/>
                <w:sz w:val="20"/>
                <w:szCs w:val="20"/>
              </w:rPr>
            </w:pPr>
            <w:r w:rsidRPr="00C4052A">
              <w:rPr>
                <w:rFonts w:ascii="Times New Roman" w:hAnsi="Times New Roman" w:cs="Times New Roman"/>
                <w:b/>
                <w:color w:val="000000"/>
                <w:sz w:val="20"/>
                <w:szCs w:val="20"/>
              </w:rPr>
              <w:t>2024</w:t>
            </w:r>
          </w:p>
        </w:tc>
      </w:tr>
      <w:tr w:rsidR="0017703B" w:rsidRPr="00FF303D" w:rsidTr="00FF303D">
        <w:trPr>
          <w:trHeight w:val="264"/>
        </w:trPr>
        <w:tc>
          <w:tcPr>
            <w:tcW w:w="3083" w:type="dxa"/>
            <w:shd w:val="clear" w:color="000000" w:fill="FFFFFF"/>
            <w:noWrap/>
            <w:vAlign w:val="bottom"/>
            <w:hideMark/>
          </w:tcPr>
          <w:p w:rsidR="0017703B" w:rsidRPr="00FF303D" w:rsidRDefault="0017703B" w:rsidP="00FF303D">
            <w:pPr>
              <w:spacing w:after="0" w:line="240" w:lineRule="auto"/>
              <w:rPr>
                <w:rFonts w:ascii="Times New Roman" w:hAnsi="Times New Roman" w:cs="Times New Roman"/>
                <w:color w:val="000000"/>
                <w:sz w:val="20"/>
                <w:szCs w:val="20"/>
              </w:rPr>
            </w:pPr>
            <w:r w:rsidRPr="00FF303D">
              <w:rPr>
                <w:rFonts w:ascii="Times New Roman" w:hAnsi="Times New Roman" w:cs="Times New Roman"/>
                <w:color w:val="000000"/>
                <w:sz w:val="20"/>
                <w:szCs w:val="20"/>
              </w:rPr>
              <w:t>Базовий сценарій</w:t>
            </w:r>
          </w:p>
        </w:tc>
        <w:tc>
          <w:tcPr>
            <w:tcW w:w="935" w:type="dxa"/>
            <w:shd w:val="clear" w:color="000000" w:fill="FFFFFF"/>
            <w:noWrap/>
            <w:vAlign w:val="bottom"/>
            <w:hideMark/>
          </w:tcPr>
          <w:p w:rsidR="0017703B" w:rsidRPr="00FF303D" w:rsidRDefault="0017703B" w:rsidP="00C4052A">
            <w:pPr>
              <w:spacing w:after="0" w:line="240" w:lineRule="auto"/>
              <w:jc w:val="right"/>
              <w:rPr>
                <w:rFonts w:ascii="Times New Roman" w:hAnsi="Times New Roman" w:cs="Times New Roman"/>
                <w:color w:val="000000"/>
                <w:sz w:val="20"/>
                <w:szCs w:val="20"/>
              </w:rPr>
            </w:pPr>
            <w:r w:rsidRPr="00FF303D">
              <w:rPr>
                <w:rFonts w:ascii="Times New Roman" w:hAnsi="Times New Roman" w:cs="Times New Roman"/>
                <w:color w:val="000000"/>
                <w:sz w:val="20"/>
                <w:szCs w:val="20"/>
              </w:rPr>
              <w:t>2 603</w:t>
            </w:r>
          </w:p>
        </w:tc>
        <w:tc>
          <w:tcPr>
            <w:tcW w:w="936" w:type="dxa"/>
            <w:shd w:val="clear" w:color="000000" w:fill="FFFFFF"/>
            <w:noWrap/>
            <w:vAlign w:val="bottom"/>
            <w:hideMark/>
          </w:tcPr>
          <w:p w:rsidR="0017703B" w:rsidRPr="00FF303D" w:rsidRDefault="0017703B" w:rsidP="00C4052A">
            <w:pPr>
              <w:spacing w:after="0" w:line="240" w:lineRule="auto"/>
              <w:jc w:val="right"/>
              <w:rPr>
                <w:rFonts w:ascii="Times New Roman" w:hAnsi="Times New Roman" w:cs="Times New Roman"/>
                <w:color w:val="000000"/>
                <w:sz w:val="20"/>
                <w:szCs w:val="20"/>
              </w:rPr>
            </w:pPr>
            <w:r w:rsidRPr="00FF303D">
              <w:rPr>
                <w:rFonts w:ascii="Times New Roman" w:hAnsi="Times New Roman" w:cs="Times New Roman"/>
                <w:color w:val="000000"/>
                <w:sz w:val="20"/>
                <w:szCs w:val="20"/>
              </w:rPr>
              <w:t>1 857</w:t>
            </w:r>
          </w:p>
        </w:tc>
        <w:tc>
          <w:tcPr>
            <w:tcW w:w="937" w:type="dxa"/>
            <w:shd w:val="clear" w:color="000000" w:fill="FFFFFF"/>
            <w:noWrap/>
            <w:vAlign w:val="bottom"/>
            <w:hideMark/>
          </w:tcPr>
          <w:p w:rsidR="0017703B" w:rsidRPr="00FF303D" w:rsidRDefault="0017703B" w:rsidP="00C4052A">
            <w:pPr>
              <w:spacing w:after="0" w:line="240" w:lineRule="auto"/>
              <w:jc w:val="right"/>
              <w:rPr>
                <w:rFonts w:ascii="Times New Roman" w:hAnsi="Times New Roman" w:cs="Times New Roman"/>
                <w:color w:val="000000"/>
                <w:sz w:val="20"/>
                <w:szCs w:val="20"/>
              </w:rPr>
            </w:pPr>
            <w:r w:rsidRPr="00FF303D">
              <w:rPr>
                <w:rFonts w:ascii="Times New Roman" w:hAnsi="Times New Roman" w:cs="Times New Roman"/>
                <w:color w:val="000000"/>
                <w:sz w:val="20"/>
                <w:szCs w:val="20"/>
              </w:rPr>
              <w:t>(27 498)</w:t>
            </w:r>
          </w:p>
        </w:tc>
        <w:tc>
          <w:tcPr>
            <w:tcW w:w="937" w:type="dxa"/>
            <w:shd w:val="clear" w:color="000000" w:fill="FFFFFF"/>
            <w:noWrap/>
            <w:vAlign w:val="bottom"/>
            <w:hideMark/>
          </w:tcPr>
          <w:p w:rsidR="0017703B" w:rsidRPr="00FF303D" w:rsidRDefault="0017703B" w:rsidP="00C4052A">
            <w:pPr>
              <w:spacing w:after="0" w:line="240" w:lineRule="auto"/>
              <w:jc w:val="right"/>
              <w:rPr>
                <w:rFonts w:ascii="Times New Roman" w:hAnsi="Times New Roman" w:cs="Times New Roman"/>
                <w:color w:val="000000"/>
                <w:sz w:val="20"/>
                <w:szCs w:val="20"/>
              </w:rPr>
            </w:pPr>
            <w:r w:rsidRPr="00FF303D">
              <w:rPr>
                <w:rFonts w:ascii="Times New Roman" w:hAnsi="Times New Roman" w:cs="Times New Roman"/>
                <w:color w:val="000000"/>
                <w:sz w:val="20"/>
                <w:szCs w:val="20"/>
              </w:rPr>
              <w:t>178</w:t>
            </w:r>
          </w:p>
        </w:tc>
        <w:tc>
          <w:tcPr>
            <w:tcW w:w="937" w:type="dxa"/>
            <w:shd w:val="clear" w:color="000000" w:fill="FFFFFF"/>
            <w:noWrap/>
            <w:vAlign w:val="bottom"/>
            <w:hideMark/>
          </w:tcPr>
          <w:p w:rsidR="0017703B" w:rsidRPr="00FF303D" w:rsidRDefault="0017703B" w:rsidP="00C4052A">
            <w:pPr>
              <w:spacing w:after="0" w:line="240" w:lineRule="auto"/>
              <w:jc w:val="right"/>
              <w:rPr>
                <w:rFonts w:ascii="Times New Roman" w:hAnsi="Times New Roman" w:cs="Times New Roman"/>
                <w:color w:val="000000"/>
                <w:sz w:val="20"/>
                <w:szCs w:val="20"/>
              </w:rPr>
            </w:pPr>
            <w:r w:rsidRPr="00FF303D">
              <w:rPr>
                <w:rFonts w:ascii="Times New Roman" w:hAnsi="Times New Roman" w:cs="Times New Roman"/>
                <w:color w:val="000000"/>
                <w:sz w:val="20"/>
                <w:szCs w:val="20"/>
              </w:rPr>
              <w:t>6 710</w:t>
            </w:r>
          </w:p>
        </w:tc>
        <w:tc>
          <w:tcPr>
            <w:tcW w:w="937" w:type="dxa"/>
            <w:shd w:val="clear" w:color="000000" w:fill="FFFFFF"/>
            <w:noWrap/>
            <w:vAlign w:val="bottom"/>
            <w:hideMark/>
          </w:tcPr>
          <w:p w:rsidR="0017703B" w:rsidRPr="00FF303D" w:rsidRDefault="0017703B" w:rsidP="00C4052A">
            <w:pPr>
              <w:spacing w:after="0" w:line="240" w:lineRule="auto"/>
              <w:jc w:val="right"/>
              <w:rPr>
                <w:rFonts w:ascii="Times New Roman" w:hAnsi="Times New Roman" w:cs="Times New Roman"/>
                <w:color w:val="000000"/>
                <w:sz w:val="20"/>
                <w:szCs w:val="20"/>
              </w:rPr>
            </w:pPr>
            <w:r w:rsidRPr="00FF303D">
              <w:rPr>
                <w:rFonts w:ascii="Times New Roman" w:hAnsi="Times New Roman" w:cs="Times New Roman"/>
                <w:color w:val="000000"/>
                <w:sz w:val="20"/>
                <w:szCs w:val="20"/>
              </w:rPr>
              <w:t>6 522</w:t>
            </w:r>
          </w:p>
        </w:tc>
        <w:tc>
          <w:tcPr>
            <w:tcW w:w="937" w:type="dxa"/>
            <w:shd w:val="clear" w:color="000000" w:fill="FFFFFF"/>
            <w:noWrap/>
            <w:vAlign w:val="bottom"/>
            <w:hideMark/>
          </w:tcPr>
          <w:p w:rsidR="0017703B" w:rsidRPr="00FF303D" w:rsidRDefault="0017703B" w:rsidP="00C4052A">
            <w:pPr>
              <w:spacing w:after="0" w:line="240" w:lineRule="auto"/>
              <w:jc w:val="right"/>
              <w:rPr>
                <w:rFonts w:ascii="Times New Roman" w:hAnsi="Times New Roman" w:cs="Times New Roman"/>
                <w:color w:val="000000"/>
                <w:sz w:val="20"/>
                <w:szCs w:val="20"/>
              </w:rPr>
            </w:pPr>
            <w:r w:rsidRPr="00FF303D">
              <w:rPr>
                <w:rFonts w:ascii="Times New Roman" w:hAnsi="Times New Roman" w:cs="Times New Roman"/>
                <w:color w:val="000000"/>
                <w:sz w:val="20"/>
                <w:szCs w:val="20"/>
              </w:rPr>
              <w:t>9 372</w:t>
            </w:r>
          </w:p>
        </w:tc>
      </w:tr>
      <w:tr w:rsidR="0017703B" w:rsidRPr="00FF303D" w:rsidTr="00FF303D">
        <w:trPr>
          <w:trHeight w:val="264"/>
        </w:trPr>
        <w:tc>
          <w:tcPr>
            <w:tcW w:w="3083" w:type="dxa"/>
            <w:shd w:val="clear" w:color="000000" w:fill="FFFFFF"/>
            <w:noWrap/>
            <w:vAlign w:val="bottom"/>
            <w:hideMark/>
          </w:tcPr>
          <w:p w:rsidR="0017703B" w:rsidRPr="00FF303D" w:rsidRDefault="0017703B" w:rsidP="00FF303D">
            <w:pPr>
              <w:spacing w:after="0" w:line="240" w:lineRule="auto"/>
              <w:rPr>
                <w:rFonts w:ascii="Times New Roman" w:hAnsi="Times New Roman" w:cs="Times New Roman"/>
                <w:color w:val="000000"/>
                <w:sz w:val="20"/>
                <w:szCs w:val="20"/>
              </w:rPr>
            </w:pPr>
            <w:r w:rsidRPr="00FF303D">
              <w:rPr>
                <w:rFonts w:ascii="Times New Roman" w:hAnsi="Times New Roman" w:cs="Times New Roman"/>
                <w:color w:val="000000"/>
                <w:sz w:val="20"/>
                <w:szCs w:val="20"/>
              </w:rPr>
              <w:t>Песимістичний сценарій</w:t>
            </w:r>
          </w:p>
        </w:tc>
        <w:tc>
          <w:tcPr>
            <w:tcW w:w="935" w:type="dxa"/>
            <w:shd w:val="clear" w:color="000000" w:fill="FFFFFF"/>
            <w:noWrap/>
            <w:vAlign w:val="bottom"/>
            <w:hideMark/>
          </w:tcPr>
          <w:p w:rsidR="0017703B" w:rsidRPr="00FF303D" w:rsidRDefault="0017703B" w:rsidP="00C4052A">
            <w:pPr>
              <w:spacing w:after="0" w:line="240" w:lineRule="auto"/>
              <w:jc w:val="right"/>
              <w:rPr>
                <w:rFonts w:ascii="Times New Roman" w:hAnsi="Times New Roman" w:cs="Times New Roman"/>
                <w:color w:val="000000"/>
                <w:sz w:val="20"/>
                <w:szCs w:val="20"/>
              </w:rPr>
            </w:pPr>
            <w:r w:rsidRPr="00FF303D">
              <w:rPr>
                <w:rFonts w:ascii="Times New Roman" w:hAnsi="Times New Roman" w:cs="Times New Roman"/>
                <w:color w:val="000000"/>
                <w:sz w:val="20"/>
                <w:szCs w:val="20"/>
              </w:rPr>
              <w:t>2 603</w:t>
            </w:r>
          </w:p>
        </w:tc>
        <w:tc>
          <w:tcPr>
            <w:tcW w:w="936" w:type="dxa"/>
            <w:shd w:val="clear" w:color="000000" w:fill="FFFFFF"/>
            <w:noWrap/>
            <w:vAlign w:val="bottom"/>
            <w:hideMark/>
          </w:tcPr>
          <w:p w:rsidR="0017703B" w:rsidRPr="00FF303D" w:rsidRDefault="0017703B" w:rsidP="00C4052A">
            <w:pPr>
              <w:spacing w:after="0" w:line="240" w:lineRule="auto"/>
              <w:jc w:val="right"/>
              <w:rPr>
                <w:rFonts w:ascii="Times New Roman" w:hAnsi="Times New Roman" w:cs="Times New Roman"/>
                <w:color w:val="000000"/>
                <w:sz w:val="20"/>
                <w:szCs w:val="20"/>
              </w:rPr>
            </w:pPr>
            <w:r w:rsidRPr="00FF303D">
              <w:rPr>
                <w:rFonts w:ascii="Times New Roman" w:hAnsi="Times New Roman" w:cs="Times New Roman"/>
                <w:color w:val="000000"/>
                <w:sz w:val="20"/>
                <w:szCs w:val="20"/>
              </w:rPr>
              <w:t>1 857</w:t>
            </w:r>
          </w:p>
        </w:tc>
        <w:tc>
          <w:tcPr>
            <w:tcW w:w="937" w:type="dxa"/>
            <w:shd w:val="clear" w:color="000000" w:fill="FFFFFF"/>
            <w:noWrap/>
            <w:vAlign w:val="bottom"/>
            <w:hideMark/>
          </w:tcPr>
          <w:p w:rsidR="0017703B" w:rsidRPr="00FF303D" w:rsidRDefault="0017703B" w:rsidP="00C4052A">
            <w:pPr>
              <w:spacing w:after="0" w:line="240" w:lineRule="auto"/>
              <w:jc w:val="right"/>
              <w:rPr>
                <w:rFonts w:ascii="Times New Roman" w:hAnsi="Times New Roman" w:cs="Times New Roman"/>
                <w:color w:val="000000"/>
                <w:sz w:val="20"/>
                <w:szCs w:val="20"/>
              </w:rPr>
            </w:pPr>
            <w:r w:rsidRPr="00FF303D">
              <w:rPr>
                <w:rFonts w:ascii="Times New Roman" w:hAnsi="Times New Roman" w:cs="Times New Roman"/>
                <w:color w:val="000000"/>
                <w:sz w:val="20"/>
                <w:szCs w:val="20"/>
              </w:rPr>
              <w:t>(27 498)</w:t>
            </w:r>
          </w:p>
        </w:tc>
        <w:tc>
          <w:tcPr>
            <w:tcW w:w="937" w:type="dxa"/>
            <w:shd w:val="clear" w:color="000000" w:fill="FFFFFF"/>
            <w:noWrap/>
            <w:vAlign w:val="bottom"/>
            <w:hideMark/>
          </w:tcPr>
          <w:p w:rsidR="0017703B" w:rsidRPr="00FF303D" w:rsidRDefault="0017703B" w:rsidP="00C4052A">
            <w:pPr>
              <w:spacing w:after="0" w:line="240" w:lineRule="auto"/>
              <w:jc w:val="right"/>
              <w:rPr>
                <w:rFonts w:ascii="Times New Roman" w:hAnsi="Times New Roman" w:cs="Times New Roman"/>
                <w:color w:val="000000"/>
                <w:sz w:val="20"/>
                <w:szCs w:val="20"/>
              </w:rPr>
            </w:pPr>
            <w:r w:rsidRPr="00FF303D">
              <w:rPr>
                <w:rFonts w:ascii="Times New Roman" w:hAnsi="Times New Roman" w:cs="Times New Roman"/>
                <w:color w:val="000000"/>
                <w:sz w:val="20"/>
                <w:szCs w:val="20"/>
              </w:rPr>
              <w:t>137</w:t>
            </w:r>
          </w:p>
        </w:tc>
        <w:tc>
          <w:tcPr>
            <w:tcW w:w="937" w:type="dxa"/>
            <w:shd w:val="clear" w:color="000000" w:fill="FFFFFF"/>
            <w:noWrap/>
            <w:vAlign w:val="bottom"/>
            <w:hideMark/>
          </w:tcPr>
          <w:p w:rsidR="0017703B" w:rsidRPr="00FF303D" w:rsidRDefault="0017703B" w:rsidP="00C4052A">
            <w:pPr>
              <w:spacing w:after="0" w:line="240" w:lineRule="auto"/>
              <w:jc w:val="right"/>
              <w:rPr>
                <w:rFonts w:ascii="Times New Roman" w:hAnsi="Times New Roman" w:cs="Times New Roman"/>
                <w:color w:val="000000"/>
                <w:sz w:val="20"/>
                <w:szCs w:val="20"/>
              </w:rPr>
            </w:pPr>
            <w:r w:rsidRPr="00FF303D">
              <w:rPr>
                <w:rFonts w:ascii="Times New Roman" w:hAnsi="Times New Roman" w:cs="Times New Roman"/>
                <w:color w:val="000000"/>
                <w:sz w:val="20"/>
                <w:szCs w:val="20"/>
              </w:rPr>
              <w:t>(4 222)</w:t>
            </w:r>
          </w:p>
        </w:tc>
        <w:tc>
          <w:tcPr>
            <w:tcW w:w="937" w:type="dxa"/>
            <w:shd w:val="clear" w:color="000000" w:fill="FFFFFF"/>
            <w:noWrap/>
            <w:vAlign w:val="bottom"/>
            <w:hideMark/>
          </w:tcPr>
          <w:p w:rsidR="0017703B" w:rsidRPr="00FF303D" w:rsidRDefault="0017703B" w:rsidP="00C4052A">
            <w:pPr>
              <w:spacing w:after="0" w:line="240" w:lineRule="auto"/>
              <w:jc w:val="right"/>
              <w:rPr>
                <w:rFonts w:ascii="Times New Roman" w:hAnsi="Times New Roman" w:cs="Times New Roman"/>
                <w:color w:val="000000"/>
                <w:sz w:val="20"/>
                <w:szCs w:val="20"/>
              </w:rPr>
            </w:pPr>
            <w:r w:rsidRPr="00FF303D">
              <w:rPr>
                <w:rFonts w:ascii="Times New Roman" w:hAnsi="Times New Roman" w:cs="Times New Roman"/>
                <w:color w:val="000000"/>
                <w:sz w:val="20"/>
                <w:szCs w:val="20"/>
              </w:rPr>
              <w:t>(7 475)</w:t>
            </w:r>
          </w:p>
        </w:tc>
        <w:tc>
          <w:tcPr>
            <w:tcW w:w="937" w:type="dxa"/>
            <w:shd w:val="clear" w:color="000000" w:fill="FFFFFF"/>
            <w:noWrap/>
            <w:vAlign w:val="bottom"/>
            <w:hideMark/>
          </w:tcPr>
          <w:p w:rsidR="0017703B" w:rsidRPr="00FF303D" w:rsidRDefault="0017703B" w:rsidP="00C4052A">
            <w:pPr>
              <w:spacing w:after="0" w:line="240" w:lineRule="auto"/>
              <w:jc w:val="right"/>
              <w:rPr>
                <w:rFonts w:ascii="Times New Roman" w:hAnsi="Times New Roman" w:cs="Times New Roman"/>
                <w:color w:val="000000"/>
                <w:sz w:val="20"/>
                <w:szCs w:val="20"/>
              </w:rPr>
            </w:pPr>
            <w:r w:rsidRPr="00FF303D">
              <w:rPr>
                <w:rFonts w:ascii="Times New Roman" w:hAnsi="Times New Roman" w:cs="Times New Roman"/>
                <w:color w:val="000000"/>
                <w:sz w:val="20"/>
                <w:szCs w:val="20"/>
              </w:rPr>
              <w:t>(10 742)</w:t>
            </w:r>
          </w:p>
        </w:tc>
      </w:tr>
    </w:tbl>
    <w:p w:rsidR="0017703B" w:rsidRDefault="0017703B" w:rsidP="0017703B">
      <w:pPr>
        <w:pStyle w:val="af1"/>
        <w:spacing w:after="120"/>
        <w:jc w:val="both"/>
        <w:rPr>
          <w:rFonts w:ascii="Times New Roman" w:hAnsi="Times New Roman" w:cs="Times New Roman"/>
          <w:noProof/>
          <w:lang w:val="uk-UA"/>
        </w:rPr>
      </w:pPr>
      <w:r>
        <w:rPr>
          <w:noProof/>
          <w:lang w:val="uk-UA" w:eastAsia="uk-UA" w:bidi="ar-SA"/>
        </w:rPr>
        <w:drawing>
          <wp:inline distT="0" distB="0" distL="0" distR="0" wp14:anchorId="27D1ECFD" wp14:editId="3B7D5CAF">
            <wp:extent cx="4425950" cy="1565275"/>
            <wp:effectExtent l="0" t="0" r="0" b="0"/>
            <wp:docPr id="18" name="Діаграма 18">
              <a:extLst xmlns:a="http://schemas.openxmlformats.org/drawingml/2006/main">
                <a:ext uri="{FF2B5EF4-FFF2-40B4-BE49-F238E27FC236}">
                  <a16:creationId xmlns:a16="http://schemas.microsoft.com/office/drawing/2014/main" id="{00000000-0008-0000-0B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17703B" w:rsidRPr="00C4052A" w:rsidRDefault="0017703B" w:rsidP="00C4052A">
      <w:pPr>
        <w:pStyle w:val="af1"/>
        <w:spacing w:before="120" w:after="120"/>
        <w:jc w:val="center"/>
        <w:rPr>
          <w:rFonts w:ascii="Times New Roman" w:hAnsi="Times New Roman" w:cs="Times New Roman"/>
          <w:b/>
          <w:i/>
          <w:lang w:val="uk-UA"/>
        </w:rPr>
      </w:pPr>
      <w:r w:rsidRPr="00C4052A">
        <w:rPr>
          <w:rFonts w:ascii="Times New Roman" w:hAnsi="Times New Roman" w:cs="Times New Roman"/>
          <w:b/>
          <w:i/>
          <w:lang w:val="uk-UA"/>
        </w:rPr>
        <w:t>Коефіцієнт заборгованості НЕК «Укренерго»</w:t>
      </w:r>
    </w:p>
    <w:tbl>
      <w:tblPr>
        <w:tblpPr w:leftFromText="180" w:rightFromText="180" w:vertAnchor="text" w:horzAnchor="margin" w:tblpX="-10" w:tblpY="43"/>
        <w:tblW w:w="97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3"/>
        <w:gridCol w:w="964"/>
        <w:gridCol w:w="964"/>
        <w:gridCol w:w="964"/>
        <w:gridCol w:w="964"/>
        <w:gridCol w:w="964"/>
        <w:gridCol w:w="964"/>
        <w:gridCol w:w="964"/>
      </w:tblGrid>
      <w:tr w:rsidR="0017703B" w:rsidRPr="00103BF4" w:rsidTr="003E5D4B">
        <w:trPr>
          <w:trHeight w:val="264"/>
        </w:trPr>
        <w:tc>
          <w:tcPr>
            <w:tcW w:w="2973" w:type="dxa"/>
            <w:shd w:val="clear" w:color="000000" w:fill="FFFFFF"/>
            <w:noWrap/>
            <w:vAlign w:val="bottom"/>
            <w:hideMark/>
          </w:tcPr>
          <w:p w:rsidR="0017703B" w:rsidRPr="00C4052A" w:rsidRDefault="0017703B" w:rsidP="00C4052A">
            <w:pPr>
              <w:spacing w:after="0" w:line="240" w:lineRule="auto"/>
              <w:rPr>
                <w:rFonts w:ascii="Times New Roman" w:hAnsi="Times New Roman" w:cs="Times New Roman"/>
                <w:color w:val="000000"/>
                <w:sz w:val="20"/>
                <w:szCs w:val="20"/>
              </w:rPr>
            </w:pPr>
          </w:p>
        </w:tc>
        <w:tc>
          <w:tcPr>
            <w:tcW w:w="964" w:type="dxa"/>
            <w:shd w:val="clear" w:color="000000" w:fill="FFFFFF"/>
            <w:noWrap/>
            <w:vAlign w:val="bottom"/>
            <w:hideMark/>
          </w:tcPr>
          <w:p w:rsidR="0017703B" w:rsidRPr="00C4052A" w:rsidRDefault="0017703B" w:rsidP="00C4052A">
            <w:pPr>
              <w:spacing w:after="0" w:line="240" w:lineRule="auto"/>
              <w:jc w:val="center"/>
              <w:rPr>
                <w:rFonts w:ascii="Times New Roman" w:hAnsi="Times New Roman" w:cs="Times New Roman"/>
                <w:b/>
                <w:color w:val="000000"/>
                <w:sz w:val="20"/>
                <w:szCs w:val="20"/>
              </w:rPr>
            </w:pPr>
            <w:r w:rsidRPr="00C4052A">
              <w:rPr>
                <w:rFonts w:ascii="Times New Roman" w:hAnsi="Times New Roman" w:cs="Times New Roman"/>
                <w:b/>
                <w:color w:val="000000"/>
                <w:sz w:val="20"/>
                <w:szCs w:val="20"/>
              </w:rPr>
              <w:t>2018</w:t>
            </w:r>
          </w:p>
        </w:tc>
        <w:tc>
          <w:tcPr>
            <w:tcW w:w="964" w:type="dxa"/>
            <w:shd w:val="clear" w:color="000000" w:fill="FFFFFF"/>
            <w:noWrap/>
            <w:vAlign w:val="bottom"/>
            <w:hideMark/>
          </w:tcPr>
          <w:p w:rsidR="0017703B" w:rsidRPr="00C4052A" w:rsidRDefault="0017703B" w:rsidP="00C4052A">
            <w:pPr>
              <w:spacing w:after="0" w:line="240" w:lineRule="auto"/>
              <w:jc w:val="center"/>
              <w:rPr>
                <w:rFonts w:ascii="Times New Roman" w:hAnsi="Times New Roman" w:cs="Times New Roman"/>
                <w:b/>
                <w:color w:val="000000"/>
                <w:sz w:val="20"/>
                <w:szCs w:val="20"/>
              </w:rPr>
            </w:pPr>
            <w:r w:rsidRPr="00C4052A">
              <w:rPr>
                <w:rFonts w:ascii="Times New Roman" w:hAnsi="Times New Roman" w:cs="Times New Roman"/>
                <w:b/>
                <w:color w:val="000000"/>
                <w:sz w:val="20"/>
                <w:szCs w:val="20"/>
              </w:rPr>
              <w:t>2019</w:t>
            </w:r>
          </w:p>
        </w:tc>
        <w:tc>
          <w:tcPr>
            <w:tcW w:w="964" w:type="dxa"/>
            <w:shd w:val="clear" w:color="000000" w:fill="FFFFFF"/>
            <w:noWrap/>
            <w:vAlign w:val="bottom"/>
            <w:hideMark/>
          </w:tcPr>
          <w:p w:rsidR="0017703B" w:rsidRPr="00C4052A" w:rsidRDefault="0017703B" w:rsidP="00C4052A">
            <w:pPr>
              <w:spacing w:after="0" w:line="240" w:lineRule="auto"/>
              <w:jc w:val="center"/>
              <w:rPr>
                <w:rFonts w:ascii="Times New Roman" w:hAnsi="Times New Roman" w:cs="Times New Roman"/>
                <w:b/>
                <w:color w:val="000000"/>
                <w:sz w:val="20"/>
                <w:szCs w:val="20"/>
              </w:rPr>
            </w:pPr>
            <w:r w:rsidRPr="00C4052A">
              <w:rPr>
                <w:rFonts w:ascii="Times New Roman" w:hAnsi="Times New Roman" w:cs="Times New Roman"/>
                <w:b/>
                <w:color w:val="000000"/>
                <w:sz w:val="20"/>
                <w:szCs w:val="20"/>
              </w:rPr>
              <w:t>2020</w:t>
            </w:r>
          </w:p>
        </w:tc>
        <w:tc>
          <w:tcPr>
            <w:tcW w:w="964" w:type="dxa"/>
            <w:shd w:val="clear" w:color="000000" w:fill="FFFFFF"/>
            <w:noWrap/>
            <w:vAlign w:val="bottom"/>
            <w:hideMark/>
          </w:tcPr>
          <w:p w:rsidR="0017703B" w:rsidRPr="00C4052A" w:rsidRDefault="0017703B" w:rsidP="00C4052A">
            <w:pPr>
              <w:spacing w:after="0" w:line="240" w:lineRule="auto"/>
              <w:jc w:val="center"/>
              <w:rPr>
                <w:rFonts w:ascii="Times New Roman" w:hAnsi="Times New Roman" w:cs="Times New Roman"/>
                <w:b/>
                <w:color w:val="000000"/>
                <w:sz w:val="20"/>
                <w:szCs w:val="20"/>
              </w:rPr>
            </w:pPr>
            <w:r w:rsidRPr="00C4052A">
              <w:rPr>
                <w:rFonts w:ascii="Times New Roman" w:hAnsi="Times New Roman" w:cs="Times New Roman"/>
                <w:b/>
                <w:color w:val="000000"/>
                <w:sz w:val="20"/>
                <w:szCs w:val="20"/>
              </w:rPr>
              <w:t>2021</w:t>
            </w:r>
          </w:p>
        </w:tc>
        <w:tc>
          <w:tcPr>
            <w:tcW w:w="964" w:type="dxa"/>
            <w:shd w:val="clear" w:color="000000" w:fill="FFFFFF"/>
            <w:noWrap/>
            <w:vAlign w:val="bottom"/>
            <w:hideMark/>
          </w:tcPr>
          <w:p w:rsidR="0017703B" w:rsidRPr="00C4052A" w:rsidRDefault="0017703B" w:rsidP="00C4052A">
            <w:pPr>
              <w:spacing w:after="0" w:line="240" w:lineRule="auto"/>
              <w:jc w:val="center"/>
              <w:rPr>
                <w:rFonts w:ascii="Times New Roman" w:hAnsi="Times New Roman" w:cs="Times New Roman"/>
                <w:b/>
                <w:color w:val="000000"/>
                <w:sz w:val="20"/>
                <w:szCs w:val="20"/>
              </w:rPr>
            </w:pPr>
            <w:r w:rsidRPr="00C4052A">
              <w:rPr>
                <w:rFonts w:ascii="Times New Roman" w:hAnsi="Times New Roman" w:cs="Times New Roman"/>
                <w:b/>
                <w:color w:val="000000"/>
                <w:sz w:val="20"/>
                <w:szCs w:val="20"/>
              </w:rPr>
              <w:t>2022</w:t>
            </w:r>
          </w:p>
        </w:tc>
        <w:tc>
          <w:tcPr>
            <w:tcW w:w="964" w:type="dxa"/>
            <w:shd w:val="clear" w:color="000000" w:fill="FFFFFF"/>
            <w:noWrap/>
            <w:vAlign w:val="bottom"/>
            <w:hideMark/>
          </w:tcPr>
          <w:p w:rsidR="0017703B" w:rsidRPr="00C4052A" w:rsidRDefault="0017703B" w:rsidP="00C4052A">
            <w:pPr>
              <w:spacing w:after="0" w:line="240" w:lineRule="auto"/>
              <w:jc w:val="center"/>
              <w:rPr>
                <w:rFonts w:ascii="Times New Roman" w:hAnsi="Times New Roman" w:cs="Times New Roman"/>
                <w:b/>
                <w:color w:val="000000"/>
                <w:sz w:val="20"/>
                <w:szCs w:val="20"/>
              </w:rPr>
            </w:pPr>
            <w:r w:rsidRPr="00C4052A">
              <w:rPr>
                <w:rFonts w:ascii="Times New Roman" w:hAnsi="Times New Roman" w:cs="Times New Roman"/>
                <w:b/>
                <w:color w:val="000000"/>
                <w:sz w:val="20"/>
                <w:szCs w:val="20"/>
              </w:rPr>
              <w:t>2023</w:t>
            </w:r>
          </w:p>
        </w:tc>
        <w:tc>
          <w:tcPr>
            <w:tcW w:w="964" w:type="dxa"/>
            <w:shd w:val="clear" w:color="000000" w:fill="FFFFFF"/>
            <w:noWrap/>
            <w:vAlign w:val="bottom"/>
            <w:hideMark/>
          </w:tcPr>
          <w:p w:rsidR="0017703B" w:rsidRPr="00C4052A" w:rsidRDefault="0017703B" w:rsidP="00C4052A">
            <w:pPr>
              <w:spacing w:after="0" w:line="240" w:lineRule="auto"/>
              <w:jc w:val="center"/>
              <w:rPr>
                <w:rFonts w:ascii="Times New Roman" w:hAnsi="Times New Roman" w:cs="Times New Roman"/>
                <w:b/>
                <w:color w:val="000000"/>
                <w:sz w:val="20"/>
                <w:szCs w:val="20"/>
              </w:rPr>
            </w:pPr>
            <w:r w:rsidRPr="00C4052A">
              <w:rPr>
                <w:rFonts w:ascii="Times New Roman" w:hAnsi="Times New Roman" w:cs="Times New Roman"/>
                <w:b/>
                <w:color w:val="000000"/>
                <w:sz w:val="20"/>
                <w:szCs w:val="20"/>
              </w:rPr>
              <w:t>2024</w:t>
            </w:r>
          </w:p>
        </w:tc>
      </w:tr>
      <w:tr w:rsidR="003E5D4B" w:rsidRPr="003E5D4B" w:rsidTr="003E5D4B">
        <w:trPr>
          <w:trHeight w:val="264"/>
        </w:trPr>
        <w:tc>
          <w:tcPr>
            <w:tcW w:w="2973" w:type="dxa"/>
            <w:shd w:val="clear" w:color="000000" w:fill="FFFFFF"/>
            <w:noWrap/>
            <w:vAlign w:val="bottom"/>
            <w:hideMark/>
          </w:tcPr>
          <w:p w:rsidR="003E5D4B" w:rsidRPr="00C4052A" w:rsidRDefault="003E5D4B" w:rsidP="003E5D4B">
            <w:pPr>
              <w:spacing w:after="0" w:line="240" w:lineRule="auto"/>
              <w:rPr>
                <w:rFonts w:ascii="Times New Roman" w:hAnsi="Times New Roman" w:cs="Times New Roman"/>
                <w:color w:val="000000"/>
                <w:sz w:val="20"/>
                <w:szCs w:val="20"/>
              </w:rPr>
            </w:pPr>
            <w:r w:rsidRPr="00C4052A">
              <w:rPr>
                <w:rFonts w:ascii="Times New Roman" w:hAnsi="Times New Roman" w:cs="Times New Roman"/>
                <w:color w:val="000000"/>
                <w:sz w:val="20"/>
                <w:szCs w:val="20"/>
              </w:rPr>
              <w:t>Базовий сценарій</w:t>
            </w:r>
          </w:p>
        </w:tc>
        <w:tc>
          <w:tcPr>
            <w:tcW w:w="964" w:type="dxa"/>
            <w:shd w:val="clear" w:color="000000" w:fill="FFFFFF"/>
            <w:noWrap/>
            <w:vAlign w:val="bottom"/>
            <w:hideMark/>
          </w:tcPr>
          <w:p w:rsidR="003E5D4B" w:rsidRPr="00C4052A" w:rsidRDefault="003E5D4B" w:rsidP="003E5D4B">
            <w:pPr>
              <w:spacing w:after="0" w:line="240" w:lineRule="auto"/>
              <w:jc w:val="right"/>
              <w:rPr>
                <w:rFonts w:ascii="Times New Roman" w:hAnsi="Times New Roman" w:cs="Times New Roman"/>
                <w:color w:val="000000"/>
                <w:sz w:val="20"/>
                <w:szCs w:val="20"/>
              </w:rPr>
            </w:pPr>
            <w:r w:rsidRPr="00C4052A">
              <w:rPr>
                <w:rFonts w:ascii="Times New Roman" w:hAnsi="Times New Roman" w:cs="Times New Roman"/>
                <w:color w:val="000000"/>
                <w:sz w:val="20"/>
                <w:szCs w:val="20"/>
              </w:rPr>
              <w:t>60,26%</w:t>
            </w:r>
          </w:p>
        </w:tc>
        <w:tc>
          <w:tcPr>
            <w:tcW w:w="964" w:type="dxa"/>
            <w:shd w:val="clear" w:color="000000" w:fill="FFFFFF"/>
            <w:noWrap/>
            <w:vAlign w:val="bottom"/>
            <w:hideMark/>
          </w:tcPr>
          <w:p w:rsidR="003E5D4B" w:rsidRPr="00C4052A" w:rsidRDefault="003E5D4B" w:rsidP="003E5D4B">
            <w:pPr>
              <w:spacing w:after="0" w:line="240" w:lineRule="auto"/>
              <w:jc w:val="right"/>
              <w:rPr>
                <w:rFonts w:ascii="Times New Roman" w:hAnsi="Times New Roman" w:cs="Times New Roman"/>
                <w:color w:val="000000"/>
                <w:sz w:val="20"/>
                <w:szCs w:val="20"/>
              </w:rPr>
            </w:pPr>
            <w:r w:rsidRPr="00C4052A">
              <w:rPr>
                <w:rFonts w:ascii="Times New Roman" w:hAnsi="Times New Roman" w:cs="Times New Roman"/>
                <w:color w:val="000000"/>
                <w:sz w:val="20"/>
                <w:szCs w:val="20"/>
              </w:rPr>
              <w:t>41,83%</w:t>
            </w:r>
          </w:p>
        </w:tc>
        <w:tc>
          <w:tcPr>
            <w:tcW w:w="964" w:type="dxa"/>
            <w:shd w:val="clear" w:color="000000" w:fill="FFFFFF"/>
            <w:noWrap/>
            <w:vAlign w:val="bottom"/>
            <w:hideMark/>
          </w:tcPr>
          <w:p w:rsidR="003E5D4B" w:rsidRPr="00C4052A" w:rsidRDefault="003E5D4B" w:rsidP="003E5D4B">
            <w:pPr>
              <w:spacing w:after="0" w:line="240" w:lineRule="auto"/>
              <w:jc w:val="right"/>
              <w:rPr>
                <w:rFonts w:ascii="Times New Roman" w:hAnsi="Times New Roman" w:cs="Times New Roman"/>
                <w:color w:val="000000"/>
                <w:sz w:val="20"/>
                <w:szCs w:val="20"/>
              </w:rPr>
            </w:pPr>
            <w:r w:rsidRPr="00C4052A">
              <w:rPr>
                <w:rFonts w:ascii="Times New Roman" w:hAnsi="Times New Roman" w:cs="Times New Roman"/>
                <w:color w:val="000000"/>
                <w:sz w:val="20"/>
                <w:szCs w:val="20"/>
              </w:rPr>
              <w:t>87,22%</w:t>
            </w:r>
          </w:p>
        </w:tc>
        <w:tc>
          <w:tcPr>
            <w:tcW w:w="964" w:type="dxa"/>
            <w:shd w:val="clear" w:color="000000" w:fill="FFFFFF"/>
            <w:noWrap/>
            <w:vAlign w:val="bottom"/>
            <w:hideMark/>
          </w:tcPr>
          <w:p w:rsidR="003E5D4B" w:rsidRPr="003E5D4B" w:rsidRDefault="003E5D4B" w:rsidP="003E5D4B">
            <w:pPr>
              <w:spacing w:after="0" w:line="240" w:lineRule="auto"/>
              <w:jc w:val="right"/>
              <w:rPr>
                <w:rFonts w:ascii="Times New Roman" w:hAnsi="Times New Roman" w:cs="Times New Roman"/>
                <w:color w:val="000000"/>
                <w:sz w:val="20"/>
                <w:szCs w:val="20"/>
              </w:rPr>
            </w:pPr>
            <w:r w:rsidRPr="003E5D4B">
              <w:rPr>
                <w:rFonts w:ascii="Times New Roman" w:hAnsi="Times New Roman" w:cs="Times New Roman"/>
                <w:color w:val="000000"/>
                <w:sz w:val="20"/>
                <w:szCs w:val="20"/>
              </w:rPr>
              <w:t>85,45%</w:t>
            </w:r>
          </w:p>
        </w:tc>
        <w:tc>
          <w:tcPr>
            <w:tcW w:w="964" w:type="dxa"/>
            <w:shd w:val="clear" w:color="000000" w:fill="FFFFFF"/>
            <w:noWrap/>
            <w:vAlign w:val="bottom"/>
            <w:hideMark/>
          </w:tcPr>
          <w:p w:rsidR="003E5D4B" w:rsidRPr="003E5D4B" w:rsidRDefault="003E5D4B" w:rsidP="003E5D4B">
            <w:pPr>
              <w:spacing w:after="0" w:line="240" w:lineRule="auto"/>
              <w:jc w:val="right"/>
              <w:rPr>
                <w:rFonts w:ascii="Times New Roman" w:hAnsi="Times New Roman" w:cs="Times New Roman"/>
                <w:color w:val="000000"/>
                <w:sz w:val="20"/>
                <w:szCs w:val="20"/>
              </w:rPr>
            </w:pPr>
            <w:r w:rsidRPr="003E5D4B">
              <w:rPr>
                <w:rFonts w:ascii="Times New Roman" w:hAnsi="Times New Roman" w:cs="Times New Roman"/>
                <w:color w:val="000000"/>
                <w:sz w:val="20"/>
                <w:szCs w:val="20"/>
              </w:rPr>
              <w:t>80,83%</w:t>
            </w:r>
          </w:p>
        </w:tc>
        <w:tc>
          <w:tcPr>
            <w:tcW w:w="964" w:type="dxa"/>
            <w:shd w:val="clear" w:color="000000" w:fill="FFFFFF"/>
            <w:noWrap/>
            <w:vAlign w:val="bottom"/>
            <w:hideMark/>
          </w:tcPr>
          <w:p w:rsidR="003E5D4B" w:rsidRPr="003E5D4B" w:rsidRDefault="003E5D4B" w:rsidP="003E5D4B">
            <w:pPr>
              <w:spacing w:after="0" w:line="240" w:lineRule="auto"/>
              <w:jc w:val="right"/>
              <w:rPr>
                <w:rFonts w:ascii="Times New Roman" w:hAnsi="Times New Roman" w:cs="Times New Roman"/>
                <w:color w:val="000000"/>
                <w:sz w:val="20"/>
                <w:szCs w:val="20"/>
              </w:rPr>
            </w:pPr>
            <w:r w:rsidRPr="003E5D4B">
              <w:rPr>
                <w:rFonts w:ascii="Times New Roman" w:hAnsi="Times New Roman" w:cs="Times New Roman"/>
                <w:color w:val="000000"/>
                <w:sz w:val="20"/>
                <w:szCs w:val="20"/>
              </w:rPr>
              <w:t>74,92%</w:t>
            </w:r>
          </w:p>
        </w:tc>
        <w:tc>
          <w:tcPr>
            <w:tcW w:w="964" w:type="dxa"/>
            <w:shd w:val="clear" w:color="000000" w:fill="FFFFFF"/>
            <w:noWrap/>
            <w:vAlign w:val="bottom"/>
            <w:hideMark/>
          </w:tcPr>
          <w:p w:rsidR="003E5D4B" w:rsidRPr="003E5D4B" w:rsidRDefault="003E5D4B" w:rsidP="003E5D4B">
            <w:pPr>
              <w:spacing w:after="0" w:line="240" w:lineRule="auto"/>
              <w:jc w:val="right"/>
              <w:rPr>
                <w:rFonts w:ascii="Times New Roman" w:hAnsi="Times New Roman" w:cs="Times New Roman"/>
                <w:color w:val="000000"/>
                <w:sz w:val="20"/>
                <w:szCs w:val="20"/>
              </w:rPr>
            </w:pPr>
            <w:r w:rsidRPr="003E5D4B">
              <w:rPr>
                <w:rFonts w:ascii="Times New Roman" w:hAnsi="Times New Roman" w:cs="Times New Roman"/>
                <w:color w:val="000000"/>
                <w:sz w:val="20"/>
                <w:szCs w:val="20"/>
              </w:rPr>
              <w:t>67,03%</w:t>
            </w:r>
          </w:p>
        </w:tc>
      </w:tr>
      <w:tr w:rsidR="0017703B" w:rsidRPr="00103BF4" w:rsidTr="003E5D4B">
        <w:trPr>
          <w:trHeight w:val="264"/>
        </w:trPr>
        <w:tc>
          <w:tcPr>
            <w:tcW w:w="2973" w:type="dxa"/>
            <w:shd w:val="clear" w:color="000000" w:fill="FFFFFF"/>
            <w:noWrap/>
            <w:vAlign w:val="bottom"/>
            <w:hideMark/>
          </w:tcPr>
          <w:p w:rsidR="0017703B" w:rsidRPr="00C4052A" w:rsidRDefault="0017703B" w:rsidP="00C4052A">
            <w:pPr>
              <w:spacing w:after="0" w:line="240" w:lineRule="auto"/>
              <w:rPr>
                <w:rFonts w:ascii="Times New Roman" w:hAnsi="Times New Roman" w:cs="Times New Roman"/>
                <w:color w:val="000000"/>
                <w:sz w:val="20"/>
                <w:szCs w:val="20"/>
              </w:rPr>
            </w:pPr>
            <w:r w:rsidRPr="00C4052A">
              <w:rPr>
                <w:rFonts w:ascii="Times New Roman" w:hAnsi="Times New Roman" w:cs="Times New Roman"/>
                <w:color w:val="000000"/>
                <w:sz w:val="20"/>
                <w:szCs w:val="20"/>
              </w:rPr>
              <w:t>Песимістичний сценарій</w:t>
            </w:r>
          </w:p>
        </w:tc>
        <w:tc>
          <w:tcPr>
            <w:tcW w:w="964" w:type="dxa"/>
            <w:shd w:val="clear" w:color="000000" w:fill="FFFFFF"/>
            <w:noWrap/>
            <w:vAlign w:val="bottom"/>
            <w:hideMark/>
          </w:tcPr>
          <w:p w:rsidR="0017703B" w:rsidRPr="00C4052A" w:rsidRDefault="0017703B" w:rsidP="00C4052A">
            <w:pPr>
              <w:spacing w:after="0" w:line="240" w:lineRule="auto"/>
              <w:jc w:val="right"/>
              <w:rPr>
                <w:rFonts w:ascii="Times New Roman" w:hAnsi="Times New Roman" w:cs="Times New Roman"/>
                <w:color w:val="000000"/>
                <w:sz w:val="20"/>
                <w:szCs w:val="20"/>
              </w:rPr>
            </w:pPr>
            <w:r w:rsidRPr="00C4052A">
              <w:rPr>
                <w:rFonts w:ascii="Times New Roman" w:hAnsi="Times New Roman" w:cs="Times New Roman"/>
                <w:color w:val="000000"/>
                <w:sz w:val="20"/>
                <w:szCs w:val="20"/>
              </w:rPr>
              <w:t>60,26%</w:t>
            </w:r>
          </w:p>
        </w:tc>
        <w:tc>
          <w:tcPr>
            <w:tcW w:w="964" w:type="dxa"/>
            <w:shd w:val="clear" w:color="000000" w:fill="FFFFFF"/>
            <w:noWrap/>
            <w:vAlign w:val="bottom"/>
            <w:hideMark/>
          </w:tcPr>
          <w:p w:rsidR="0017703B" w:rsidRPr="00C4052A" w:rsidRDefault="0017703B" w:rsidP="00C4052A">
            <w:pPr>
              <w:spacing w:after="0" w:line="240" w:lineRule="auto"/>
              <w:jc w:val="right"/>
              <w:rPr>
                <w:rFonts w:ascii="Times New Roman" w:hAnsi="Times New Roman" w:cs="Times New Roman"/>
                <w:color w:val="000000"/>
                <w:sz w:val="20"/>
                <w:szCs w:val="20"/>
              </w:rPr>
            </w:pPr>
            <w:r w:rsidRPr="00C4052A">
              <w:rPr>
                <w:rFonts w:ascii="Times New Roman" w:hAnsi="Times New Roman" w:cs="Times New Roman"/>
                <w:color w:val="000000"/>
                <w:sz w:val="20"/>
                <w:szCs w:val="20"/>
              </w:rPr>
              <w:t>41,83%</w:t>
            </w:r>
          </w:p>
        </w:tc>
        <w:tc>
          <w:tcPr>
            <w:tcW w:w="964" w:type="dxa"/>
            <w:shd w:val="clear" w:color="000000" w:fill="FFFFFF"/>
            <w:noWrap/>
            <w:vAlign w:val="bottom"/>
            <w:hideMark/>
          </w:tcPr>
          <w:p w:rsidR="0017703B" w:rsidRPr="00C4052A" w:rsidRDefault="0017703B" w:rsidP="00C4052A">
            <w:pPr>
              <w:spacing w:after="0" w:line="240" w:lineRule="auto"/>
              <w:jc w:val="right"/>
              <w:rPr>
                <w:rFonts w:ascii="Times New Roman" w:hAnsi="Times New Roman" w:cs="Times New Roman"/>
                <w:color w:val="000000"/>
                <w:sz w:val="20"/>
                <w:szCs w:val="20"/>
              </w:rPr>
            </w:pPr>
            <w:r w:rsidRPr="00C4052A">
              <w:rPr>
                <w:rFonts w:ascii="Times New Roman" w:hAnsi="Times New Roman" w:cs="Times New Roman"/>
                <w:color w:val="000000"/>
                <w:sz w:val="20"/>
                <w:szCs w:val="20"/>
              </w:rPr>
              <w:t>87,22%</w:t>
            </w:r>
          </w:p>
        </w:tc>
        <w:tc>
          <w:tcPr>
            <w:tcW w:w="964" w:type="dxa"/>
            <w:shd w:val="clear" w:color="000000" w:fill="FFFFFF"/>
            <w:noWrap/>
            <w:vAlign w:val="bottom"/>
            <w:hideMark/>
          </w:tcPr>
          <w:p w:rsidR="0017703B" w:rsidRPr="00C4052A" w:rsidRDefault="0017703B" w:rsidP="00C4052A">
            <w:pPr>
              <w:spacing w:after="0" w:line="240" w:lineRule="auto"/>
              <w:jc w:val="right"/>
              <w:rPr>
                <w:rFonts w:ascii="Times New Roman" w:hAnsi="Times New Roman" w:cs="Times New Roman"/>
                <w:color w:val="000000"/>
                <w:sz w:val="20"/>
                <w:szCs w:val="20"/>
              </w:rPr>
            </w:pPr>
            <w:r w:rsidRPr="00C4052A">
              <w:rPr>
                <w:rFonts w:ascii="Times New Roman" w:hAnsi="Times New Roman" w:cs="Times New Roman"/>
                <w:color w:val="000000"/>
                <w:sz w:val="20"/>
                <w:szCs w:val="20"/>
              </w:rPr>
              <w:t>85,10%</w:t>
            </w:r>
          </w:p>
        </w:tc>
        <w:tc>
          <w:tcPr>
            <w:tcW w:w="964" w:type="dxa"/>
            <w:shd w:val="clear" w:color="000000" w:fill="FFFFFF"/>
            <w:noWrap/>
            <w:vAlign w:val="bottom"/>
            <w:hideMark/>
          </w:tcPr>
          <w:p w:rsidR="0017703B" w:rsidRPr="00C4052A" w:rsidRDefault="0017703B" w:rsidP="00C4052A">
            <w:pPr>
              <w:spacing w:after="0" w:line="240" w:lineRule="auto"/>
              <w:jc w:val="right"/>
              <w:rPr>
                <w:rFonts w:ascii="Times New Roman" w:hAnsi="Times New Roman" w:cs="Times New Roman"/>
                <w:color w:val="000000"/>
                <w:sz w:val="20"/>
                <w:szCs w:val="20"/>
              </w:rPr>
            </w:pPr>
            <w:r w:rsidRPr="00C4052A">
              <w:rPr>
                <w:rFonts w:ascii="Times New Roman" w:hAnsi="Times New Roman" w:cs="Times New Roman"/>
                <w:color w:val="000000"/>
                <w:sz w:val="20"/>
                <w:szCs w:val="20"/>
              </w:rPr>
              <w:t>90,71%</w:t>
            </w:r>
          </w:p>
        </w:tc>
        <w:tc>
          <w:tcPr>
            <w:tcW w:w="964" w:type="dxa"/>
            <w:shd w:val="clear" w:color="000000" w:fill="FFFFFF"/>
            <w:noWrap/>
            <w:vAlign w:val="bottom"/>
            <w:hideMark/>
          </w:tcPr>
          <w:p w:rsidR="0017703B" w:rsidRPr="00C4052A" w:rsidRDefault="0017703B" w:rsidP="00C4052A">
            <w:pPr>
              <w:spacing w:after="0" w:line="240" w:lineRule="auto"/>
              <w:jc w:val="right"/>
              <w:rPr>
                <w:rFonts w:ascii="Times New Roman" w:hAnsi="Times New Roman" w:cs="Times New Roman"/>
                <w:color w:val="000000"/>
                <w:sz w:val="20"/>
                <w:szCs w:val="20"/>
              </w:rPr>
            </w:pPr>
            <w:r w:rsidRPr="00C4052A">
              <w:rPr>
                <w:rFonts w:ascii="Times New Roman" w:hAnsi="Times New Roman" w:cs="Times New Roman"/>
                <w:color w:val="000000"/>
                <w:sz w:val="20"/>
                <w:szCs w:val="20"/>
              </w:rPr>
              <w:t>103,25%</w:t>
            </w:r>
          </w:p>
        </w:tc>
        <w:tc>
          <w:tcPr>
            <w:tcW w:w="964" w:type="dxa"/>
            <w:shd w:val="clear" w:color="000000" w:fill="FFFFFF"/>
            <w:noWrap/>
            <w:vAlign w:val="bottom"/>
            <w:hideMark/>
          </w:tcPr>
          <w:p w:rsidR="0017703B" w:rsidRPr="00C4052A" w:rsidRDefault="0017703B" w:rsidP="00C4052A">
            <w:pPr>
              <w:spacing w:after="0" w:line="240" w:lineRule="auto"/>
              <w:jc w:val="right"/>
              <w:rPr>
                <w:rFonts w:ascii="Times New Roman" w:hAnsi="Times New Roman" w:cs="Times New Roman"/>
                <w:color w:val="000000"/>
                <w:sz w:val="20"/>
                <w:szCs w:val="20"/>
              </w:rPr>
            </w:pPr>
            <w:r w:rsidRPr="00C4052A">
              <w:rPr>
                <w:rFonts w:ascii="Times New Roman" w:hAnsi="Times New Roman" w:cs="Times New Roman"/>
                <w:color w:val="000000"/>
                <w:sz w:val="20"/>
                <w:szCs w:val="20"/>
              </w:rPr>
              <w:t>141,41%</w:t>
            </w:r>
          </w:p>
        </w:tc>
      </w:tr>
    </w:tbl>
    <w:p w:rsidR="0017703B" w:rsidRDefault="0017703B" w:rsidP="0017703B">
      <w:pPr>
        <w:spacing w:after="120"/>
        <w:rPr>
          <w:noProof/>
        </w:rPr>
      </w:pPr>
      <w:r>
        <w:rPr>
          <w:noProof/>
          <w:lang w:eastAsia="uk-UA"/>
        </w:rPr>
        <w:drawing>
          <wp:inline distT="0" distB="0" distL="0" distR="0" wp14:anchorId="535976F2" wp14:editId="2A3505CC">
            <wp:extent cx="4502728" cy="1628775"/>
            <wp:effectExtent l="0" t="0" r="0" b="0"/>
            <wp:docPr id="20" name="Діаграма 20">
              <a:extLst xmlns:a="http://schemas.openxmlformats.org/drawingml/2006/main">
                <a:ext uri="{FF2B5EF4-FFF2-40B4-BE49-F238E27FC236}">
                  <a16:creationId xmlns:a16="http://schemas.microsoft.com/office/drawing/2014/main" id="{00000000-0008-0000-0B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17703B" w:rsidRPr="00C4052A" w:rsidRDefault="0017703B" w:rsidP="00C4052A">
      <w:pPr>
        <w:pStyle w:val="af1"/>
        <w:ind w:firstLine="567"/>
        <w:jc w:val="both"/>
        <w:rPr>
          <w:rFonts w:ascii="Times New Roman" w:hAnsi="Times New Roman" w:cs="Times New Roman"/>
          <w:sz w:val="24"/>
          <w:lang w:val="uk-UA"/>
        </w:rPr>
      </w:pPr>
      <w:r w:rsidRPr="00C4052A">
        <w:rPr>
          <w:rFonts w:ascii="Times New Roman" w:hAnsi="Times New Roman" w:cs="Times New Roman"/>
          <w:sz w:val="24"/>
          <w:lang w:val="uk-UA"/>
        </w:rPr>
        <w:t>У 2021 році за обома сценаріями очікується беззбиткова діяльність Компанії, в 2022 – 2024 роках за базовим сценарієм очікується прибуткова діяльність Компанії, за песимістичним сценарієм очікуються збитки.</w:t>
      </w:r>
    </w:p>
    <w:p w:rsidR="0017703B" w:rsidRPr="000B4FA4" w:rsidRDefault="0017703B" w:rsidP="0017703B">
      <w:pPr>
        <w:pStyle w:val="af1"/>
        <w:ind w:firstLine="567"/>
        <w:jc w:val="both"/>
        <w:rPr>
          <w:rFonts w:ascii="Times New Roman" w:hAnsi="Times New Roman" w:cs="Times New Roman"/>
          <w:sz w:val="24"/>
          <w:lang w:val="uk-UA"/>
        </w:rPr>
      </w:pPr>
      <w:r w:rsidRPr="000B4FA4">
        <w:rPr>
          <w:rFonts w:ascii="Times New Roman" w:hAnsi="Times New Roman" w:cs="Times New Roman"/>
          <w:sz w:val="24"/>
          <w:lang w:val="uk-UA"/>
        </w:rPr>
        <w:t>Як наслідок, за умов реалізації песимістичного сценарію відбудеться зростання залежності Компанії від позикового капіталу та зниження спроможності фінансувати діяль</w:t>
      </w:r>
      <w:r w:rsidR="00A033C0" w:rsidRPr="000B4FA4">
        <w:rPr>
          <w:rFonts w:ascii="Times New Roman" w:hAnsi="Times New Roman" w:cs="Times New Roman"/>
          <w:sz w:val="24"/>
          <w:lang w:val="uk-UA"/>
        </w:rPr>
        <w:t xml:space="preserve">ність за рахунок власних коштів, </w:t>
      </w:r>
      <w:r w:rsidRPr="000B4FA4">
        <w:rPr>
          <w:rFonts w:ascii="Times New Roman" w:hAnsi="Times New Roman" w:cs="Times New Roman"/>
          <w:sz w:val="24"/>
          <w:lang w:val="uk-UA"/>
        </w:rPr>
        <w:t xml:space="preserve">очікується значний дефіцит обігових коштів </w:t>
      </w:r>
      <w:r w:rsidR="00A033C0" w:rsidRPr="000B4FA4">
        <w:rPr>
          <w:rFonts w:ascii="Times New Roman" w:hAnsi="Times New Roman" w:cs="Times New Roman"/>
          <w:sz w:val="24"/>
          <w:lang w:val="uk-UA"/>
        </w:rPr>
        <w:t>та</w:t>
      </w:r>
      <w:r w:rsidRPr="000B4FA4">
        <w:rPr>
          <w:rFonts w:ascii="Times New Roman" w:hAnsi="Times New Roman" w:cs="Times New Roman"/>
          <w:sz w:val="24"/>
          <w:lang w:val="uk-UA"/>
        </w:rPr>
        <w:t xml:space="preserve"> виникне необхідність у залученні Компанією додаткових коштів для фінансування своєї діяльності та виконання поточних зобов’язань.</w:t>
      </w:r>
    </w:p>
    <w:p w:rsidR="0017703B" w:rsidRPr="00C4052A" w:rsidRDefault="0017703B" w:rsidP="0017703B">
      <w:pPr>
        <w:pStyle w:val="af1"/>
        <w:ind w:firstLine="567"/>
        <w:jc w:val="both"/>
        <w:rPr>
          <w:rFonts w:ascii="Times New Roman" w:hAnsi="Times New Roman" w:cs="Times New Roman"/>
          <w:sz w:val="24"/>
          <w:lang w:val="uk-UA"/>
        </w:rPr>
      </w:pPr>
      <w:r w:rsidRPr="00C4052A">
        <w:rPr>
          <w:rFonts w:ascii="Times New Roman" w:hAnsi="Times New Roman" w:cs="Times New Roman"/>
          <w:sz w:val="24"/>
          <w:lang w:val="uk-UA"/>
        </w:rPr>
        <w:t xml:space="preserve">Таким чином, за збереження діючих умов функціонування НЕК «Укренерго» на ринку електроенергії (покладення спеціальних обов’язків із збільшення частки виробництва енергії з альтернативних джерел) та реалізації песимістичного сценарію у 2022 – 2024 роках очікується збиткова діяльність Компанії, що негативно відобразиться на фінансовому стані </w:t>
      </w:r>
      <w:r w:rsidRPr="00C4052A">
        <w:rPr>
          <w:rFonts w:ascii="Times New Roman" w:hAnsi="Times New Roman" w:cs="Times New Roman"/>
          <w:sz w:val="24"/>
          <w:lang w:val="uk-UA"/>
        </w:rPr>
        <w:br/>
        <w:t>НЕК «Укренерго» та обсягах сплати до державного бюджету відповідних податків та платежів.</w:t>
      </w:r>
    </w:p>
    <w:p w:rsidR="0017703B" w:rsidRPr="0018706D" w:rsidRDefault="0017703B" w:rsidP="0018706D">
      <w:pPr>
        <w:pStyle w:val="af1"/>
        <w:ind w:firstLine="567"/>
        <w:jc w:val="both"/>
        <w:rPr>
          <w:rFonts w:ascii="Times New Roman" w:hAnsi="Times New Roman" w:cs="Times New Roman"/>
          <w:sz w:val="24"/>
          <w:lang w:val="uk-UA"/>
        </w:rPr>
      </w:pPr>
      <w:r w:rsidRPr="0018706D">
        <w:rPr>
          <w:rFonts w:ascii="Times New Roman" w:hAnsi="Times New Roman" w:cs="Times New Roman"/>
          <w:sz w:val="24"/>
          <w:lang w:val="uk-UA"/>
        </w:rPr>
        <w:t>Крім того, за умов реалізації песимістичного сценарію, внаслідок очікуваного дефіциту обігових коштів НЕК «Укренерго» існують ризики неспроможності Компанії виконувати зобов’язання за кредитами, одержаними під державні гарантії.</w:t>
      </w:r>
    </w:p>
    <w:p w:rsidR="0017703B" w:rsidRDefault="0017703B" w:rsidP="0018706D">
      <w:pPr>
        <w:spacing w:after="0" w:line="240" w:lineRule="auto"/>
        <w:ind w:firstLine="567"/>
        <w:jc w:val="both"/>
        <w:rPr>
          <w:rFonts w:ascii="Times New Roman" w:eastAsia="Arial" w:hAnsi="Times New Roman" w:cs="Times New Roman"/>
          <w:sz w:val="24"/>
          <w:lang w:bidi="en-US"/>
        </w:rPr>
      </w:pPr>
      <w:r w:rsidRPr="0018706D">
        <w:rPr>
          <w:rFonts w:ascii="Times New Roman" w:eastAsia="Arial" w:hAnsi="Times New Roman" w:cs="Times New Roman"/>
          <w:sz w:val="24"/>
          <w:lang w:bidi="en-US"/>
        </w:rPr>
        <w:t xml:space="preserve">Зазначена вище інформація про очікувані показники діяльності НЕК «Укренерго» у </w:t>
      </w:r>
      <w:r w:rsidRPr="0018706D">
        <w:rPr>
          <w:rFonts w:ascii="Times New Roman" w:eastAsia="Arial" w:hAnsi="Times New Roman" w:cs="Times New Roman"/>
          <w:sz w:val="24"/>
          <w:lang w:bidi="en-US"/>
        </w:rPr>
        <w:br/>
        <w:t>2021 – 2024 роках є розрахунковою, не враховує усіх можливих доходів та витрат Компанії, відображає можливий тренд фінансових прогнозів за умов реалізації різних сценаріїв та може відхилятись від фактичної ситуації внаслідок впливу не врахованих у сценаріях подій та не може розглядатись як гарантія настання таких подій у майбутньому.</w:t>
      </w:r>
    </w:p>
    <w:p w:rsidR="00FB1CE5" w:rsidRPr="00FB1CE5" w:rsidRDefault="00FB1CE5" w:rsidP="0018706D">
      <w:pPr>
        <w:spacing w:after="0" w:line="240" w:lineRule="auto"/>
        <w:ind w:firstLine="567"/>
        <w:jc w:val="both"/>
        <w:rPr>
          <w:rFonts w:ascii="Times New Roman" w:eastAsia="Arial" w:hAnsi="Times New Roman" w:cs="Times New Roman"/>
          <w:sz w:val="18"/>
          <w:szCs w:val="18"/>
          <w:lang w:bidi="en-US"/>
        </w:rPr>
      </w:pPr>
    </w:p>
    <w:p w:rsidR="0017703B" w:rsidRPr="00FB1CE5" w:rsidRDefault="0017703B" w:rsidP="0018706D">
      <w:pPr>
        <w:spacing w:before="120" w:after="120" w:line="240" w:lineRule="auto"/>
        <w:jc w:val="center"/>
        <w:rPr>
          <w:rFonts w:ascii="Times New Roman" w:hAnsi="Times New Roman" w:cs="Times New Roman"/>
          <w:b/>
          <w:i/>
          <w:sz w:val="24"/>
          <w:lang w:eastAsia="ru-RU"/>
        </w:rPr>
      </w:pPr>
      <w:r w:rsidRPr="00FB1CE5">
        <w:rPr>
          <w:rFonts w:ascii="Times New Roman" w:hAnsi="Times New Roman" w:cs="Times New Roman"/>
          <w:b/>
          <w:i/>
          <w:color w:val="000000"/>
          <w:sz w:val="24"/>
          <w:lang w:eastAsia="ru-RU"/>
        </w:rPr>
        <w:t>ДП «</w:t>
      </w:r>
      <w:r w:rsidRPr="00FB1CE5">
        <w:rPr>
          <w:rFonts w:ascii="Times New Roman" w:hAnsi="Times New Roman" w:cs="Times New Roman"/>
          <w:b/>
          <w:i/>
          <w:sz w:val="24"/>
          <w:lang w:eastAsia="ru-RU"/>
        </w:rPr>
        <w:t>НАЕК «Енергоатом»</w:t>
      </w:r>
    </w:p>
    <w:p w:rsidR="0017703B" w:rsidRPr="0018706D" w:rsidRDefault="0017703B" w:rsidP="0018706D">
      <w:pPr>
        <w:pStyle w:val="af1"/>
        <w:ind w:firstLine="567"/>
        <w:jc w:val="both"/>
        <w:rPr>
          <w:rFonts w:ascii="Times New Roman" w:hAnsi="Times New Roman" w:cs="Times New Roman"/>
          <w:sz w:val="24"/>
          <w:lang w:val="uk-UA"/>
        </w:rPr>
      </w:pPr>
      <w:r w:rsidRPr="0018706D">
        <w:rPr>
          <w:rFonts w:ascii="Times New Roman" w:hAnsi="Times New Roman" w:cs="Times New Roman"/>
          <w:sz w:val="24"/>
          <w:lang w:val="uk-UA"/>
        </w:rPr>
        <w:t>ДП «НАЕК «Енергоатом» (далі – Підприємство) посідає 8-ме місце у світі за потужністю атомних станцій та є лідером з виробництва електричної енергії в Україні</w:t>
      </w:r>
      <w:r w:rsidRPr="0018706D">
        <w:rPr>
          <w:lang w:val="uk-UA"/>
        </w:rPr>
        <w:t xml:space="preserve"> (з</w:t>
      </w:r>
      <w:r w:rsidRPr="0018706D">
        <w:rPr>
          <w:rFonts w:ascii="Times New Roman" w:hAnsi="Times New Roman" w:cs="Times New Roman"/>
          <w:sz w:val="24"/>
          <w:lang w:val="uk-UA"/>
        </w:rPr>
        <w:t>абезпечує близько 55% потреби України в електроенергії, в осінньо-зимові періоди цей показник сягає 70%).</w:t>
      </w:r>
    </w:p>
    <w:p w:rsidR="0017703B" w:rsidRPr="0018706D" w:rsidRDefault="0017703B" w:rsidP="0018706D">
      <w:pPr>
        <w:pStyle w:val="af1"/>
        <w:ind w:firstLine="567"/>
        <w:jc w:val="both"/>
        <w:rPr>
          <w:rFonts w:ascii="Times New Roman" w:hAnsi="Times New Roman" w:cs="Times New Roman"/>
          <w:sz w:val="24"/>
          <w:lang w:val="uk-UA"/>
        </w:rPr>
      </w:pPr>
      <w:r w:rsidRPr="0018706D">
        <w:rPr>
          <w:rFonts w:ascii="Times New Roman" w:hAnsi="Times New Roman" w:cs="Times New Roman"/>
          <w:sz w:val="24"/>
          <w:lang w:val="uk-UA"/>
        </w:rPr>
        <w:t>Тарифи на електричну та теплову енергію, що виробляється на атомних електростанціях ДП «НАЕК «Енергоатом» регулюються та затверджуються Національною комісією, що здійснює державне регулювання у сферах енергетики та комунальних послуг.</w:t>
      </w:r>
    </w:p>
    <w:p w:rsidR="00927EE1" w:rsidRDefault="00927EE1" w:rsidP="0018706D">
      <w:pPr>
        <w:pStyle w:val="af1"/>
        <w:ind w:firstLine="567"/>
        <w:jc w:val="both"/>
        <w:rPr>
          <w:rFonts w:ascii="Times New Roman" w:hAnsi="Times New Roman" w:cs="Times New Roman"/>
          <w:sz w:val="24"/>
          <w:lang w:val="uk-UA"/>
        </w:rPr>
      </w:pPr>
    </w:p>
    <w:p w:rsidR="0017703B" w:rsidRPr="0018706D" w:rsidRDefault="0017703B" w:rsidP="0018706D">
      <w:pPr>
        <w:pStyle w:val="af1"/>
        <w:ind w:firstLine="567"/>
        <w:jc w:val="both"/>
        <w:rPr>
          <w:rFonts w:ascii="Times New Roman" w:hAnsi="Times New Roman" w:cs="Times New Roman"/>
          <w:sz w:val="24"/>
          <w:lang w:val="uk-UA"/>
        </w:rPr>
      </w:pPr>
      <w:r w:rsidRPr="0018706D">
        <w:rPr>
          <w:rFonts w:ascii="Times New Roman" w:hAnsi="Times New Roman" w:cs="Times New Roman"/>
          <w:sz w:val="24"/>
          <w:lang w:val="uk-UA"/>
        </w:rPr>
        <w:t>З липня 2019 року на ДП «НАЕК «Енергоатом» було покладено спеціальні обов’язки для забезпечення загальносуспільного інтересу у процесі функціонування ринку електричної енергії.</w:t>
      </w:r>
    </w:p>
    <w:p w:rsidR="0017703B" w:rsidRDefault="0017703B" w:rsidP="0018706D">
      <w:pPr>
        <w:pStyle w:val="af1"/>
        <w:ind w:firstLine="567"/>
        <w:jc w:val="both"/>
        <w:rPr>
          <w:rFonts w:ascii="Times New Roman" w:hAnsi="Times New Roman" w:cs="Times New Roman"/>
          <w:sz w:val="24"/>
          <w:lang w:val="uk-UA"/>
        </w:rPr>
      </w:pPr>
      <w:r w:rsidRPr="0018706D">
        <w:rPr>
          <w:rFonts w:ascii="Times New Roman" w:hAnsi="Times New Roman" w:cs="Times New Roman"/>
          <w:sz w:val="24"/>
          <w:lang w:val="uk-UA"/>
        </w:rPr>
        <w:t>Моделювання результатів діяльності ДП «НАЕК «Енергоатом» здійснювалось на підставі інформації Підприємства щодо очікувань на 2021 – 2024 роки.</w:t>
      </w:r>
    </w:p>
    <w:p w:rsidR="0017703B" w:rsidRPr="0018706D" w:rsidRDefault="0017703B" w:rsidP="0018706D">
      <w:pPr>
        <w:spacing w:before="120" w:after="120" w:line="240" w:lineRule="auto"/>
        <w:ind w:firstLine="567"/>
        <w:jc w:val="center"/>
        <w:rPr>
          <w:rFonts w:ascii="Times New Roman" w:hAnsi="Times New Roman" w:cs="Times New Roman"/>
          <w:b/>
          <w:i/>
          <w:color w:val="000000" w:themeColor="text1"/>
          <w:lang w:eastAsia="ru-RU"/>
        </w:rPr>
      </w:pPr>
      <w:r w:rsidRPr="0018706D">
        <w:rPr>
          <w:rFonts w:ascii="Times New Roman" w:hAnsi="Times New Roman" w:cs="Times New Roman"/>
          <w:b/>
          <w:i/>
        </w:rPr>
        <w:t>Основні припущення для базового та песимістичного сценаріїв</w:t>
      </w:r>
    </w:p>
    <w:tbl>
      <w:tblPr>
        <w:tblStyle w:val="a3"/>
        <w:tblW w:w="0" w:type="auto"/>
        <w:tblLook w:val="04A0" w:firstRow="1" w:lastRow="0" w:firstColumn="1" w:lastColumn="0" w:noHBand="0" w:noVBand="1"/>
      </w:tblPr>
      <w:tblGrid>
        <w:gridCol w:w="4955"/>
        <w:gridCol w:w="4956"/>
      </w:tblGrid>
      <w:tr w:rsidR="0017703B" w:rsidRPr="00990327" w:rsidTr="00C4052A">
        <w:tc>
          <w:tcPr>
            <w:tcW w:w="4955" w:type="dxa"/>
            <w:shd w:val="clear" w:color="auto" w:fill="FFC000"/>
          </w:tcPr>
          <w:p w:rsidR="0017703B" w:rsidRPr="0018706D" w:rsidRDefault="0017703B" w:rsidP="00C4052A">
            <w:pPr>
              <w:jc w:val="center"/>
              <w:rPr>
                <w:rFonts w:ascii="Times New Roman" w:hAnsi="Times New Roman" w:cs="Times New Roman"/>
                <w:noProof/>
                <w:color w:val="000000" w:themeColor="text1"/>
                <w:sz w:val="20"/>
              </w:rPr>
            </w:pPr>
            <w:r w:rsidRPr="0018706D">
              <w:rPr>
                <w:rFonts w:ascii="Times New Roman" w:hAnsi="Times New Roman" w:cs="Times New Roman"/>
                <w:b/>
                <w:i/>
                <w:sz w:val="20"/>
              </w:rPr>
              <w:t>Базовий</w:t>
            </w:r>
          </w:p>
        </w:tc>
        <w:tc>
          <w:tcPr>
            <w:tcW w:w="4956" w:type="dxa"/>
            <w:shd w:val="clear" w:color="auto" w:fill="BFBFBF" w:themeFill="background1" w:themeFillShade="BF"/>
          </w:tcPr>
          <w:p w:rsidR="0017703B" w:rsidRPr="0018706D" w:rsidRDefault="0017703B" w:rsidP="00C4052A">
            <w:pPr>
              <w:jc w:val="center"/>
              <w:rPr>
                <w:rFonts w:ascii="Times New Roman" w:hAnsi="Times New Roman" w:cs="Times New Roman"/>
                <w:noProof/>
                <w:color w:val="000000" w:themeColor="text1"/>
                <w:sz w:val="20"/>
              </w:rPr>
            </w:pPr>
            <w:r w:rsidRPr="0018706D">
              <w:rPr>
                <w:rFonts w:ascii="Times New Roman" w:hAnsi="Times New Roman" w:cs="Times New Roman"/>
                <w:b/>
                <w:i/>
                <w:sz w:val="20"/>
              </w:rPr>
              <w:t>Песимістичний</w:t>
            </w:r>
          </w:p>
        </w:tc>
      </w:tr>
      <w:tr w:rsidR="0017703B" w:rsidRPr="008A708F" w:rsidTr="00C4052A">
        <w:tc>
          <w:tcPr>
            <w:tcW w:w="4955" w:type="dxa"/>
          </w:tcPr>
          <w:p w:rsidR="0017703B" w:rsidRPr="0018706D" w:rsidRDefault="0017703B" w:rsidP="00C4052A">
            <w:pPr>
              <w:jc w:val="both"/>
              <w:rPr>
                <w:rFonts w:ascii="Times New Roman" w:hAnsi="Times New Roman" w:cs="Times New Roman"/>
                <w:b/>
                <w:i/>
              </w:rPr>
            </w:pPr>
            <w:r w:rsidRPr="0018706D">
              <w:rPr>
                <w:rFonts w:ascii="Times New Roman" w:hAnsi="Times New Roman" w:cs="Times New Roman"/>
                <w:sz w:val="20"/>
              </w:rPr>
              <w:t>Прогноз щодо обсягів та цін реалізації продукції в 2021 – 2024 роках враховано відповідно до очікувань Підприємства.</w:t>
            </w:r>
          </w:p>
        </w:tc>
        <w:tc>
          <w:tcPr>
            <w:tcW w:w="4956" w:type="dxa"/>
          </w:tcPr>
          <w:p w:rsidR="0017703B" w:rsidRPr="0018706D" w:rsidRDefault="0017703B" w:rsidP="00C4052A">
            <w:pPr>
              <w:jc w:val="both"/>
              <w:rPr>
                <w:rFonts w:ascii="Times New Roman" w:hAnsi="Times New Roman" w:cs="Times New Roman"/>
                <w:sz w:val="20"/>
                <w:highlight w:val="yellow"/>
              </w:rPr>
            </w:pPr>
            <w:r w:rsidRPr="0018706D">
              <w:rPr>
                <w:rFonts w:ascii="Times New Roman" w:hAnsi="Times New Roman" w:cs="Times New Roman"/>
                <w:sz w:val="20"/>
              </w:rPr>
              <w:t>Обсяги реалізації продукції у 2021 році враховано на рівні прогнозного балансу виробництва електричної енергії України на 2021 рік, щодо 2022-2024 років зроблено припущення, що обсяги реалізації продукції будуть зростати на рівні зростання ВВП, а ціни – на рівні зростання споживчих цін за альтернативним сценарієм розвитку прогнозу, схваленого постановою Кабінету Міністрів України від 31.05.2021 № 586.</w:t>
            </w:r>
          </w:p>
        </w:tc>
      </w:tr>
      <w:tr w:rsidR="0017703B" w:rsidRPr="008A708F" w:rsidTr="00C4052A">
        <w:tc>
          <w:tcPr>
            <w:tcW w:w="4955" w:type="dxa"/>
          </w:tcPr>
          <w:p w:rsidR="0017703B" w:rsidRPr="0018706D" w:rsidRDefault="0017703B" w:rsidP="00C4052A">
            <w:pPr>
              <w:jc w:val="both"/>
              <w:rPr>
                <w:rFonts w:ascii="Times New Roman" w:hAnsi="Times New Roman" w:cs="Times New Roman"/>
                <w:sz w:val="20"/>
              </w:rPr>
            </w:pPr>
            <w:r w:rsidRPr="0018706D">
              <w:rPr>
                <w:rFonts w:ascii="Times New Roman" w:hAnsi="Times New Roman" w:cs="Times New Roman"/>
                <w:sz w:val="20"/>
              </w:rPr>
              <w:t>Очікування щодо зростання операційних витрат в 2021 – 2024 роках враховано відповідно до очікувань Підприємства.</w:t>
            </w:r>
          </w:p>
        </w:tc>
        <w:tc>
          <w:tcPr>
            <w:tcW w:w="4956" w:type="dxa"/>
          </w:tcPr>
          <w:p w:rsidR="0017703B" w:rsidRPr="0018706D" w:rsidRDefault="0017703B" w:rsidP="00C4052A">
            <w:pPr>
              <w:jc w:val="both"/>
              <w:rPr>
                <w:rFonts w:ascii="Times New Roman" w:hAnsi="Times New Roman" w:cs="Times New Roman"/>
                <w:sz w:val="20"/>
                <w:highlight w:val="yellow"/>
              </w:rPr>
            </w:pPr>
            <w:r w:rsidRPr="0018706D">
              <w:rPr>
                <w:rFonts w:ascii="Times New Roman" w:hAnsi="Times New Roman" w:cs="Times New Roman"/>
                <w:sz w:val="20"/>
              </w:rPr>
              <w:t>Очікування щодо зростання операційних витрат враховано відповідно до рівня зростання споживчих цін та цін виробників за альтернативним сценарієм розвитку прогнозу, схваленого постановою Кабінету Міністрів України від 31.05.2021 № 586.</w:t>
            </w:r>
          </w:p>
        </w:tc>
      </w:tr>
      <w:tr w:rsidR="0017703B" w:rsidRPr="008A708F" w:rsidTr="00C4052A">
        <w:tc>
          <w:tcPr>
            <w:tcW w:w="4955" w:type="dxa"/>
          </w:tcPr>
          <w:p w:rsidR="0017703B" w:rsidRPr="0018706D" w:rsidRDefault="0017703B" w:rsidP="00C4052A">
            <w:pPr>
              <w:jc w:val="both"/>
              <w:rPr>
                <w:rFonts w:ascii="Times New Roman" w:hAnsi="Times New Roman" w:cs="Times New Roman"/>
                <w:sz w:val="20"/>
              </w:rPr>
            </w:pPr>
            <w:r w:rsidRPr="0018706D">
              <w:rPr>
                <w:rFonts w:ascii="Times New Roman" w:hAnsi="Times New Roman" w:cs="Times New Roman"/>
                <w:sz w:val="20"/>
              </w:rPr>
              <w:t>Припущення щодо зміни валютного курсу враховано відповідно до прогнозу, схваленого постановою Кабінету Міністрів України від 31.05.2021 № 586.</w:t>
            </w:r>
          </w:p>
        </w:tc>
        <w:tc>
          <w:tcPr>
            <w:tcW w:w="4956" w:type="dxa"/>
          </w:tcPr>
          <w:p w:rsidR="0017703B" w:rsidRPr="0018706D" w:rsidRDefault="0017703B" w:rsidP="00C4052A">
            <w:pPr>
              <w:jc w:val="both"/>
              <w:rPr>
                <w:rFonts w:ascii="Times New Roman" w:hAnsi="Times New Roman" w:cs="Times New Roman"/>
                <w:sz w:val="20"/>
              </w:rPr>
            </w:pPr>
            <w:r w:rsidRPr="0018706D">
              <w:rPr>
                <w:rFonts w:ascii="Times New Roman" w:hAnsi="Times New Roman" w:cs="Times New Roman"/>
                <w:sz w:val="20"/>
              </w:rPr>
              <w:t>Припущення щодо зміни валютного курсу враховано на рівні +5% щороку порівняно із базовим сценарієм.</w:t>
            </w:r>
          </w:p>
        </w:tc>
      </w:tr>
    </w:tbl>
    <w:p w:rsidR="0017703B" w:rsidRPr="0018706D" w:rsidRDefault="0017703B" w:rsidP="00485C32">
      <w:pPr>
        <w:spacing w:before="240" w:after="0" w:line="240" w:lineRule="auto"/>
        <w:ind w:firstLine="567"/>
        <w:jc w:val="center"/>
        <w:rPr>
          <w:rFonts w:ascii="Times New Roman" w:hAnsi="Times New Roman" w:cs="Times New Roman"/>
          <w:b/>
          <w:i/>
        </w:rPr>
      </w:pPr>
      <w:r w:rsidRPr="0018706D">
        <w:rPr>
          <w:rFonts w:ascii="Times New Roman" w:hAnsi="Times New Roman" w:cs="Times New Roman"/>
          <w:b/>
          <w:i/>
        </w:rPr>
        <w:t>Чистий прибуток (збиток) ДП «НАЕК «Енергоатом»</w:t>
      </w:r>
    </w:p>
    <w:p w:rsidR="0017703B" w:rsidRPr="0018706D" w:rsidRDefault="0017703B" w:rsidP="0018706D">
      <w:pPr>
        <w:tabs>
          <w:tab w:val="left" w:pos="8789"/>
        </w:tabs>
        <w:spacing w:after="0" w:line="240" w:lineRule="auto"/>
        <w:ind w:right="284"/>
        <w:jc w:val="right"/>
        <w:rPr>
          <w:rFonts w:ascii="Times New Roman" w:hAnsi="Times New Roman" w:cs="Times New Roman"/>
          <w:bCs/>
          <w:color w:val="000000"/>
          <w:sz w:val="20"/>
          <w:szCs w:val="20"/>
        </w:rPr>
      </w:pPr>
      <w:r w:rsidRPr="0018706D">
        <w:rPr>
          <w:rFonts w:ascii="Times New Roman" w:hAnsi="Times New Roman" w:cs="Times New Roman"/>
          <w:i/>
          <w:sz w:val="20"/>
          <w:szCs w:val="20"/>
        </w:rPr>
        <w:t>(млн гривень)</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3"/>
        <w:gridCol w:w="935"/>
        <w:gridCol w:w="936"/>
        <w:gridCol w:w="937"/>
        <w:gridCol w:w="937"/>
        <w:gridCol w:w="937"/>
        <w:gridCol w:w="937"/>
        <w:gridCol w:w="937"/>
      </w:tblGrid>
      <w:tr w:rsidR="0017703B" w:rsidRPr="00DB28E2" w:rsidTr="00C4052A">
        <w:trPr>
          <w:trHeight w:val="264"/>
        </w:trPr>
        <w:tc>
          <w:tcPr>
            <w:tcW w:w="3083" w:type="dxa"/>
            <w:shd w:val="clear" w:color="000000" w:fill="FFFFFF"/>
            <w:noWrap/>
            <w:vAlign w:val="bottom"/>
            <w:hideMark/>
          </w:tcPr>
          <w:p w:rsidR="0017703B" w:rsidRPr="0018706D" w:rsidRDefault="0017703B" w:rsidP="0018706D">
            <w:pPr>
              <w:spacing w:after="0" w:line="240" w:lineRule="auto"/>
              <w:rPr>
                <w:rFonts w:ascii="Times New Roman" w:hAnsi="Times New Roman" w:cs="Times New Roman"/>
                <w:color w:val="000000"/>
                <w:sz w:val="20"/>
                <w:szCs w:val="20"/>
              </w:rPr>
            </w:pPr>
          </w:p>
        </w:tc>
        <w:tc>
          <w:tcPr>
            <w:tcW w:w="935" w:type="dxa"/>
            <w:shd w:val="clear" w:color="000000" w:fill="FFFFFF"/>
            <w:noWrap/>
            <w:vAlign w:val="bottom"/>
            <w:hideMark/>
          </w:tcPr>
          <w:p w:rsidR="0017703B" w:rsidRPr="0018706D" w:rsidRDefault="0017703B" w:rsidP="0018706D">
            <w:pPr>
              <w:spacing w:after="0" w:line="240" w:lineRule="auto"/>
              <w:jc w:val="center"/>
              <w:rPr>
                <w:rFonts w:ascii="Times New Roman" w:hAnsi="Times New Roman" w:cs="Times New Roman"/>
                <w:b/>
                <w:color w:val="000000"/>
                <w:sz w:val="20"/>
                <w:szCs w:val="20"/>
              </w:rPr>
            </w:pPr>
            <w:r w:rsidRPr="0018706D">
              <w:rPr>
                <w:rFonts w:ascii="Times New Roman" w:hAnsi="Times New Roman" w:cs="Times New Roman"/>
                <w:b/>
                <w:color w:val="000000"/>
                <w:sz w:val="20"/>
                <w:szCs w:val="20"/>
              </w:rPr>
              <w:t>2018</w:t>
            </w:r>
          </w:p>
        </w:tc>
        <w:tc>
          <w:tcPr>
            <w:tcW w:w="936" w:type="dxa"/>
            <w:shd w:val="clear" w:color="000000" w:fill="FFFFFF"/>
            <w:noWrap/>
            <w:vAlign w:val="bottom"/>
            <w:hideMark/>
          </w:tcPr>
          <w:p w:rsidR="0017703B" w:rsidRPr="0018706D" w:rsidRDefault="0017703B" w:rsidP="0018706D">
            <w:pPr>
              <w:spacing w:after="0" w:line="240" w:lineRule="auto"/>
              <w:jc w:val="center"/>
              <w:rPr>
                <w:rFonts w:ascii="Times New Roman" w:hAnsi="Times New Roman" w:cs="Times New Roman"/>
                <w:b/>
                <w:color w:val="000000"/>
                <w:sz w:val="20"/>
                <w:szCs w:val="20"/>
              </w:rPr>
            </w:pPr>
            <w:r w:rsidRPr="0018706D">
              <w:rPr>
                <w:rFonts w:ascii="Times New Roman" w:hAnsi="Times New Roman" w:cs="Times New Roman"/>
                <w:b/>
                <w:color w:val="000000"/>
                <w:sz w:val="20"/>
                <w:szCs w:val="20"/>
              </w:rPr>
              <w:t>2019</w:t>
            </w:r>
          </w:p>
        </w:tc>
        <w:tc>
          <w:tcPr>
            <w:tcW w:w="937" w:type="dxa"/>
            <w:shd w:val="clear" w:color="000000" w:fill="FFFFFF"/>
            <w:noWrap/>
            <w:vAlign w:val="bottom"/>
            <w:hideMark/>
          </w:tcPr>
          <w:p w:rsidR="0017703B" w:rsidRPr="0018706D" w:rsidRDefault="0017703B" w:rsidP="0018706D">
            <w:pPr>
              <w:spacing w:after="0" w:line="240" w:lineRule="auto"/>
              <w:jc w:val="center"/>
              <w:rPr>
                <w:rFonts w:ascii="Times New Roman" w:hAnsi="Times New Roman" w:cs="Times New Roman"/>
                <w:b/>
                <w:color w:val="000000"/>
                <w:sz w:val="20"/>
                <w:szCs w:val="20"/>
              </w:rPr>
            </w:pPr>
            <w:r w:rsidRPr="0018706D">
              <w:rPr>
                <w:rFonts w:ascii="Times New Roman" w:hAnsi="Times New Roman" w:cs="Times New Roman"/>
                <w:b/>
                <w:color w:val="000000"/>
                <w:sz w:val="20"/>
                <w:szCs w:val="20"/>
              </w:rPr>
              <w:t>2020</w:t>
            </w:r>
          </w:p>
        </w:tc>
        <w:tc>
          <w:tcPr>
            <w:tcW w:w="937" w:type="dxa"/>
            <w:shd w:val="clear" w:color="000000" w:fill="FFFFFF"/>
            <w:noWrap/>
            <w:vAlign w:val="bottom"/>
            <w:hideMark/>
          </w:tcPr>
          <w:p w:rsidR="0017703B" w:rsidRPr="0018706D" w:rsidRDefault="0017703B" w:rsidP="0018706D">
            <w:pPr>
              <w:spacing w:after="0" w:line="240" w:lineRule="auto"/>
              <w:jc w:val="center"/>
              <w:rPr>
                <w:rFonts w:ascii="Times New Roman" w:hAnsi="Times New Roman" w:cs="Times New Roman"/>
                <w:b/>
                <w:color w:val="000000"/>
                <w:sz w:val="20"/>
                <w:szCs w:val="20"/>
              </w:rPr>
            </w:pPr>
            <w:r w:rsidRPr="0018706D">
              <w:rPr>
                <w:rFonts w:ascii="Times New Roman" w:hAnsi="Times New Roman" w:cs="Times New Roman"/>
                <w:b/>
                <w:color w:val="000000"/>
                <w:sz w:val="20"/>
                <w:szCs w:val="20"/>
              </w:rPr>
              <w:t>2021</w:t>
            </w:r>
          </w:p>
        </w:tc>
        <w:tc>
          <w:tcPr>
            <w:tcW w:w="937" w:type="dxa"/>
            <w:shd w:val="clear" w:color="000000" w:fill="FFFFFF"/>
            <w:noWrap/>
            <w:vAlign w:val="bottom"/>
            <w:hideMark/>
          </w:tcPr>
          <w:p w:rsidR="0017703B" w:rsidRPr="0018706D" w:rsidRDefault="0017703B" w:rsidP="0018706D">
            <w:pPr>
              <w:spacing w:after="0" w:line="240" w:lineRule="auto"/>
              <w:jc w:val="center"/>
              <w:rPr>
                <w:rFonts w:ascii="Times New Roman" w:hAnsi="Times New Roman" w:cs="Times New Roman"/>
                <w:b/>
                <w:color w:val="000000"/>
                <w:sz w:val="20"/>
                <w:szCs w:val="20"/>
              </w:rPr>
            </w:pPr>
            <w:r w:rsidRPr="0018706D">
              <w:rPr>
                <w:rFonts w:ascii="Times New Roman" w:hAnsi="Times New Roman" w:cs="Times New Roman"/>
                <w:b/>
                <w:color w:val="000000"/>
                <w:sz w:val="20"/>
                <w:szCs w:val="20"/>
              </w:rPr>
              <w:t>2022</w:t>
            </w:r>
          </w:p>
        </w:tc>
        <w:tc>
          <w:tcPr>
            <w:tcW w:w="937" w:type="dxa"/>
            <w:shd w:val="clear" w:color="000000" w:fill="FFFFFF"/>
            <w:noWrap/>
            <w:vAlign w:val="bottom"/>
            <w:hideMark/>
          </w:tcPr>
          <w:p w:rsidR="0017703B" w:rsidRPr="0018706D" w:rsidRDefault="0017703B" w:rsidP="0018706D">
            <w:pPr>
              <w:spacing w:after="0" w:line="240" w:lineRule="auto"/>
              <w:jc w:val="center"/>
              <w:rPr>
                <w:rFonts w:ascii="Times New Roman" w:hAnsi="Times New Roman" w:cs="Times New Roman"/>
                <w:b/>
                <w:color w:val="000000"/>
                <w:sz w:val="20"/>
                <w:szCs w:val="20"/>
              </w:rPr>
            </w:pPr>
            <w:r w:rsidRPr="0018706D">
              <w:rPr>
                <w:rFonts w:ascii="Times New Roman" w:hAnsi="Times New Roman" w:cs="Times New Roman"/>
                <w:b/>
                <w:color w:val="000000"/>
                <w:sz w:val="20"/>
                <w:szCs w:val="20"/>
              </w:rPr>
              <w:t>2023</w:t>
            </w:r>
          </w:p>
        </w:tc>
        <w:tc>
          <w:tcPr>
            <w:tcW w:w="937" w:type="dxa"/>
            <w:shd w:val="clear" w:color="000000" w:fill="FFFFFF"/>
            <w:noWrap/>
            <w:vAlign w:val="bottom"/>
            <w:hideMark/>
          </w:tcPr>
          <w:p w:rsidR="0017703B" w:rsidRPr="0018706D" w:rsidRDefault="0017703B" w:rsidP="0018706D">
            <w:pPr>
              <w:spacing w:after="0" w:line="240" w:lineRule="auto"/>
              <w:jc w:val="center"/>
              <w:rPr>
                <w:rFonts w:ascii="Times New Roman" w:hAnsi="Times New Roman" w:cs="Times New Roman"/>
                <w:b/>
                <w:color w:val="000000"/>
                <w:sz w:val="20"/>
                <w:szCs w:val="20"/>
              </w:rPr>
            </w:pPr>
            <w:r w:rsidRPr="0018706D">
              <w:rPr>
                <w:rFonts w:ascii="Times New Roman" w:hAnsi="Times New Roman" w:cs="Times New Roman"/>
                <w:b/>
                <w:color w:val="000000"/>
                <w:sz w:val="20"/>
                <w:szCs w:val="20"/>
              </w:rPr>
              <w:t>2024</w:t>
            </w:r>
          </w:p>
        </w:tc>
      </w:tr>
      <w:tr w:rsidR="0017703B" w:rsidRPr="00DB28E2" w:rsidTr="00C4052A">
        <w:trPr>
          <w:trHeight w:val="264"/>
        </w:trPr>
        <w:tc>
          <w:tcPr>
            <w:tcW w:w="3083" w:type="dxa"/>
            <w:shd w:val="clear" w:color="000000" w:fill="FFFFFF"/>
            <w:noWrap/>
            <w:vAlign w:val="bottom"/>
            <w:hideMark/>
          </w:tcPr>
          <w:p w:rsidR="0017703B" w:rsidRPr="0018706D" w:rsidRDefault="0017703B" w:rsidP="0018706D">
            <w:pPr>
              <w:spacing w:after="0" w:line="240" w:lineRule="auto"/>
              <w:rPr>
                <w:rFonts w:ascii="Times New Roman" w:hAnsi="Times New Roman" w:cs="Times New Roman"/>
                <w:color w:val="000000"/>
                <w:sz w:val="20"/>
                <w:szCs w:val="20"/>
              </w:rPr>
            </w:pPr>
            <w:r w:rsidRPr="0018706D">
              <w:rPr>
                <w:rFonts w:ascii="Times New Roman" w:hAnsi="Times New Roman" w:cs="Times New Roman"/>
                <w:color w:val="000000"/>
                <w:sz w:val="20"/>
                <w:szCs w:val="20"/>
              </w:rPr>
              <w:t>Базовий сценарій</w:t>
            </w:r>
          </w:p>
        </w:tc>
        <w:tc>
          <w:tcPr>
            <w:tcW w:w="935" w:type="dxa"/>
            <w:shd w:val="clear" w:color="000000" w:fill="FFFFFF"/>
            <w:noWrap/>
            <w:hideMark/>
          </w:tcPr>
          <w:p w:rsidR="0017703B" w:rsidRPr="0018706D" w:rsidRDefault="0017703B" w:rsidP="0018706D">
            <w:pPr>
              <w:spacing w:after="0" w:line="240" w:lineRule="auto"/>
              <w:jc w:val="center"/>
              <w:rPr>
                <w:rFonts w:ascii="Times New Roman" w:hAnsi="Times New Roman" w:cs="Times New Roman"/>
                <w:color w:val="000000"/>
                <w:sz w:val="20"/>
                <w:szCs w:val="20"/>
              </w:rPr>
            </w:pPr>
            <w:r w:rsidRPr="0018706D">
              <w:rPr>
                <w:rFonts w:ascii="Times New Roman" w:hAnsi="Times New Roman" w:cs="Times New Roman"/>
                <w:color w:val="000000"/>
                <w:sz w:val="20"/>
                <w:szCs w:val="20"/>
              </w:rPr>
              <w:t>4 632</w:t>
            </w:r>
          </w:p>
        </w:tc>
        <w:tc>
          <w:tcPr>
            <w:tcW w:w="936" w:type="dxa"/>
            <w:shd w:val="clear" w:color="000000" w:fill="FFFFFF"/>
            <w:noWrap/>
            <w:hideMark/>
          </w:tcPr>
          <w:p w:rsidR="0017703B" w:rsidRPr="0018706D" w:rsidRDefault="0017703B" w:rsidP="0018706D">
            <w:pPr>
              <w:spacing w:after="0" w:line="240" w:lineRule="auto"/>
              <w:jc w:val="center"/>
              <w:rPr>
                <w:rFonts w:ascii="Times New Roman" w:hAnsi="Times New Roman" w:cs="Times New Roman"/>
                <w:color w:val="000000"/>
                <w:sz w:val="20"/>
                <w:szCs w:val="20"/>
              </w:rPr>
            </w:pPr>
            <w:r w:rsidRPr="0018706D">
              <w:rPr>
                <w:rFonts w:ascii="Times New Roman" w:hAnsi="Times New Roman" w:cs="Times New Roman"/>
                <w:color w:val="000000"/>
                <w:sz w:val="20"/>
                <w:szCs w:val="20"/>
              </w:rPr>
              <w:t>3 774</w:t>
            </w:r>
          </w:p>
        </w:tc>
        <w:tc>
          <w:tcPr>
            <w:tcW w:w="937" w:type="dxa"/>
            <w:shd w:val="clear" w:color="000000" w:fill="FFFFFF"/>
            <w:noWrap/>
            <w:hideMark/>
          </w:tcPr>
          <w:p w:rsidR="0017703B" w:rsidRPr="0018706D" w:rsidRDefault="0017703B" w:rsidP="0018706D">
            <w:pPr>
              <w:spacing w:after="0" w:line="240" w:lineRule="auto"/>
              <w:jc w:val="center"/>
              <w:rPr>
                <w:rFonts w:ascii="Times New Roman" w:hAnsi="Times New Roman" w:cs="Times New Roman"/>
                <w:color w:val="000000"/>
                <w:sz w:val="20"/>
                <w:szCs w:val="20"/>
              </w:rPr>
            </w:pPr>
            <w:r w:rsidRPr="0018706D">
              <w:rPr>
                <w:rFonts w:ascii="Times New Roman" w:hAnsi="Times New Roman" w:cs="Times New Roman"/>
                <w:color w:val="000000"/>
                <w:sz w:val="20"/>
                <w:szCs w:val="20"/>
              </w:rPr>
              <w:t>(4 845)</w:t>
            </w:r>
          </w:p>
        </w:tc>
        <w:tc>
          <w:tcPr>
            <w:tcW w:w="937" w:type="dxa"/>
            <w:shd w:val="clear" w:color="000000" w:fill="FFFFFF"/>
            <w:noWrap/>
            <w:hideMark/>
          </w:tcPr>
          <w:p w:rsidR="0017703B" w:rsidRPr="0018706D" w:rsidRDefault="0017703B" w:rsidP="0018706D">
            <w:pPr>
              <w:spacing w:after="0" w:line="240" w:lineRule="auto"/>
              <w:jc w:val="center"/>
              <w:rPr>
                <w:rFonts w:ascii="Times New Roman" w:hAnsi="Times New Roman" w:cs="Times New Roman"/>
                <w:color w:val="000000"/>
                <w:sz w:val="20"/>
                <w:szCs w:val="20"/>
              </w:rPr>
            </w:pPr>
            <w:r w:rsidRPr="0018706D">
              <w:rPr>
                <w:rFonts w:ascii="Times New Roman" w:hAnsi="Times New Roman" w:cs="Times New Roman"/>
                <w:color w:val="000000"/>
                <w:sz w:val="20"/>
                <w:szCs w:val="20"/>
              </w:rPr>
              <w:t>788</w:t>
            </w:r>
          </w:p>
        </w:tc>
        <w:tc>
          <w:tcPr>
            <w:tcW w:w="937" w:type="dxa"/>
            <w:shd w:val="clear" w:color="000000" w:fill="FFFFFF"/>
            <w:noWrap/>
            <w:hideMark/>
          </w:tcPr>
          <w:p w:rsidR="0017703B" w:rsidRPr="0018706D" w:rsidRDefault="0017703B" w:rsidP="0018706D">
            <w:pPr>
              <w:spacing w:after="0" w:line="240" w:lineRule="auto"/>
              <w:jc w:val="center"/>
              <w:rPr>
                <w:rFonts w:ascii="Times New Roman" w:hAnsi="Times New Roman" w:cs="Times New Roman"/>
                <w:color w:val="000000"/>
                <w:sz w:val="20"/>
                <w:szCs w:val="20"/>
              </w:rPr>
            </w:pPr>
            <w:r w:rsidRPr="0018706D">
              <w:rPr>
                <w:rFonts w:ascii="Times New Roman" w:hAnsi="Times New Roman" w:cs="Times New Roman"/>
                <w:color w:val="000000"/>
                <w:sz w:val="20"/>
                <w:szCs w:val="20"/>
              </w:rPr>
              <w:t>4 238</w:t>
            </w:r>
          </w:p>
        </w:tc>
        <w:tc>
          <w:tcPr>
            <w:tcW w:w="937" w:type="dxa"/>
            <w:shd w:val="clear" w:color="000000" w:fill="FFFFFF"/>
            <w:noWrap/>
            <w:hideMark/>
          </w:tcPr>
          <w:p w:rsidR="0017703B" w:rsidRPr="0018706D" w:rsidRDefault="0017703B" w:rsidP="0018706D">
            <w:pPr>
              <w:spacing w:after="0" w:line="240" w:lineRule="auto"/>
              <w:jc w:val="center"/>
              <w:rPr>
                <w:rFonts w:ascii="Times New Roman" w:hAnsi="Times New Roman" w:cs="Times New Roman"/>
                <w:color w:val="000000"/>
                <w:sz w:val="20"/>
                <w:szCs w:val="20"/>
              </w:rPr>
            </w:pPr>
            <w:r w:rsidRPr="0018706D">
              <w:rPr>
                <w:rFonts w:ascii="Times New Roman" w:hAnsi="Times New Roman" w:cs="Times New Roman"/>
                <w:color w:val="000000"/>
                <w:sz w:val="20"/>
                <w:szCs w:val="20"/>
              </w:rPr>
              <w:t>7 834</w:t>
            </w:r>
          </w:p>
        </w:tc>
        <w:tc>
          <w:tcPr>
            <w:tcW w:w="937" w:type="dxa"/>
            <w:shd w:val="clear" w:color="000000" w:fill="FFFFFF"/>
            <w:noWrap/>
            <w:hideMark/>
          </w:tcPr>
          <w:p w:rsidR="0017703B" w:rsidRPr="0018706D" w:rsidRDefault="0017703B" w:rsidP="0018706D">
            <w:pPr>
              <w:spacing w:after="0" w:line="240" w:lineRule="auto"/>
              <w:jc w:val="center"/>
              <w:rPr>
                <w:rFonts w:ascii="Times New Roman" w:hAnsi="Times New Roman" w:cs="Times New Roman"/>
                <w:color w:val="000000"/>
                <w:sz w:val="20"/>
                <w:szCs w:val="20"/>
              </w:rPr>
            </w:pPr>
            <w:r w:rsidRPr="0018706D">
              <w:rPr>
                <w:rFonts w:ascii="Times New Roman" w:hAnsi="Times New Roman" w:cs="Times New Roman"/>
                <w:color w:val="000000"/>
                <w:sz w:val="20"/>
                <w:szCs w:val="20"/>
              </w:rPr>
              <w:t>10 055</w:t>
            </w:r>
          </w:p>
        </w:tc>
      </w:tr>
      <w:tr w:rsidR="0017703B" w:rsidRPr="00DB28E2" w:rsidTr="00C4052A">
        <w:trPr>
          <w:trHeight w:val="264"/>
        </w:trPr>
        <w:tc>
          <w:tcPr>
            <w:tcW w:w="3083" w:type="dxa"/>
            <w:shd w:val="clear" w:color="000000" w:fill="FFFFFF"/>
            <w:noWrap/>
            <w:vAlign w:val="bottom"/>
            <w:hideMark/>
          </w:tcPr>
          <w:p w:rsidR="0017703B" w:rsidRPr="0018706D" w:rsidRDefault="0017703B" w:rsidP="0018706D">
            <w:pPr>
              <w:spacing w:after="0" w:line="240" w:lineRule="auto"/>
              <w:rPr>
                <w:rFonts w:ascii="Times New Roman" w:hAnsi="Times New Roman" w:cs="Times New Roman"/>
                <w:color w:val="000000"/>
                <w:sz w:val="20"/>
                <w:szCs w:val="20"/>
              </w:rPr>
            </w:pPr>
            <w:r w:rsidRPr="0018706D">
              <w:rPr>
                <w:rFonts w:ascii="Times New Roman" w:hAnsi="Times New Roman" w:cs="Times New Roman"/>
                <w:color w:val="000000"/>
                <w:sz w:val="20"/>
                <w:szCs w:val="20"/>
              </w:rPr>
              <w:t>Песимістичний сценарій</w:t>
            </w:r>
          </w:p>
        </w:tc>
        <w:tc>
          <w:tcPr>
            <w:tcW w:w="935" w:type="dxa"/>
            <w:shd w:val="clear" w:color="000000" w:fill="FFFFFF"/>
            <w:noWrap/>
            <w:hideMark/>
          </w:tcPr>
          <w:p w:rsidR="0017703B" w:rsidRPr="0018706D" w:rsidRDefault="0017703B" w:rsidP="0018706D">
            <w:pPr>
              <w:spacing w:after="0" w:line="240" w:lineRule="auto"/>
              <w:jc w:val="center"/>
              <w:rPr>
                <w:rFonts w:ascii="Times New Roman" w:hAnsi="Times New Roman" w:cs="Times New Roman"/>
                <w:color w:val="000000"/>
                <w:sz w:val="20"/>
                <w:szCs w:val="20"/>
              </w:rPr>
            </w:pPr>
            <w:r w:rsidRPr="0018706D">
              <w:rPr>
                <w:rFonts w:ascii="Times New Roman" w:hAnsi="Times New Roman" w:cs="Times New Roman"/>
                <w:color w:val="000000"/>
                <w:sz w:val="20"/>
                <w:szCs w:val="20"/>
              </w:rPr>
              <w:t>4 632</w:t>
            </w:r>
          </w:p>
        </w:tc>
        <w:tc>
          <w:tcPr>
            <w:tcW w:w="936" w:type="dxa"/>
            <w:shd w:val="clear" w:color="000000" w:fill="FFFFFF"/>
            <w:noWrap/>
            <w:hideMark/>
          </w:tcPr>
          <w:p w:rsidR="0017703B" w:rsidRPr="0018706D" w:rsidRDefault="0017703B" w:rsidP="0018706D">
            <w:pPr>
              <w:spacing w:after="0" w:line="240" w:lineRule="auto"/>
              <w:jc w:val="center"/>
              <w:rPr>
                <w:rFonts w:ascii="Times New Roman" w:hAnsi="Times New Roman" w:cs="Times New Roman"/>
                <w:color w:val="000000"/>
                <w:sz w:val="20"/>
                <w:szCs w:val="20"/>
              </w:rPr>
            </w:pPr>
            <w:r w:rsidRPr="0018706D">
              <w:rPr>
                <w:rFonts w:ascii="Times New Roman" w:hAnsi="Times New Roman" w:cs="Times New Roman"/>
                <w:color w:val="000000"/>
                <w:sz w:val="20"/>
                <w:szCs w:val="20"/>
              </w:rPr>
              <w:t>3 774</w:t>
            </w:r>
          </w:p>
        </w:tc>
        <w:tc>
          <w:tcPr>
            <w:tcW w:w="937" w:type="dxa"/>
            <w:shd w:val="clear" w:color="000000" w:fill="FFFFFF"/>
            <w:noWrap/>
            <w:hideMark/>
          </w:tcPr>
          <w:p w:rsidR="0017703B" w:rsidRPr="0018706D" w:rsidRDefault="0017703B" w:rsidP="0018706D">
            <w:pPr>
              <w:spacing w:after="0" w:line="240" w:lineRule="auto"/>
              <w:jc w:val="center"/>
              <w:rPr>
                <w:rFonts w:ascii="Times New Roman" w:hAnsi="Times New Roman" w:cs="Times New Roman"/>
                <w:color w:val="000000"/>
                <w:sz w:val="20"/>
                <w:szCs w:val="20"/>
              </w:rPr>
            </w:pPr>
            <w:r w:rsidRPr="0018706D">
              <w:rPr>
                <w:rFonts w:ascii="Times New Roman" w:hAnsi="Times New Roman" w:cs="Times New Roman"/>
                <w:color w:val="000000"/>
                <w:sz w:val="20"/>
                <w:szCs w:val="20"/>
              </w:rPr>
              <w:t>(4 845)</w:t>
            </w:r>
          </w:p>
        </w:tc>
        <w:tc>
          <w:tcPr>
            <w:tcW w:w="937" w:type="dxa"/>
            <w:shd w:val="clear" w:color="000000" w:fill="FFFFFF"/>
            <w:noWrap/>
            <w:hideMark/>
          </w:tcPr>
          <w:p w:rsidR="0017703B" w:rsidRPr="0018706D" w:rsidRDefault="0017703B" w:rsidP="0018706D">
            <w:pPr>
              <w:spacing w:after="0" w:line="240" w:lineRule="auto"/>
              <w:jc w:val="center"/>
              <w:rPr>
                <w:rFonts w:ascii="Times New Roman" w:hAnsi="Times New Roman" w:cs="Times New Roman"/>
                <w:color w:val="000000"/>
                <w:sz w:val="20"/>
                <w:szCs w:val="20"/>
              </w:rPr>
            </w:pPr>
            <w:r w:rsidRPr="0018706D">
              <w:rPr>
                <w:rFonts w:ascii="Times New Roman" w:hAnsi="Times New Roman" w:cs="Times New Roman"/>
                <w:color w:val="000000"/>
                <w:sz w:val="20"/>
                <w:szCs w:val="20"/>
              </w:rPr>
              <w:t>(1 125)</w:t>
            </w:r>
          </w:p>
        </w:tc>
        <w:tc>
          <w:tcPr>
            <w:tcW w:w="937" w:type="dxa"/>
            <w:shd w:val="clear" w:color="000000" w:fill="FFFFFF"/>
            <w:noWrap/>
            <w:hideMark/>
          </w:tcPr>
          <w:p w:rsidR="0017703B" w:rsidRPr="0018706D" w:rsidRDefault="0017703B" w:rsidP="0018706D">
            <w:pPr>
              <w:spacing w:after="0" w:line="240" w:lineRule="auto"/>
              <w:jc w:val="center"/>
              <w:rPr>
                <w:rFonts w:ascii="Times New Roman" w:hAnsi="Times New Roman" w:cs="Times New Roman"/>
                <w:color w:val="000000"/>
                <w:sz w:val="20"/>
                <w:szCs w:val="20"/>
              </w:rPr>
            </w:pPr>
            <w:r w:rsidRPr="0018706D">
              <w:rPr>
                <w:rFonts w:ascii="Times New Roman" w:hAnsi="Times New Roman" w:cs="Times New Roman"/>
                <w:color w:val="000000"/>
                <w:sz w:val="20"/>
                <w:szCs w:val="20"/>
              </w:rPr>
              <w:t>(542)</w:t>
            </w:r>
          </w:p>
        </w:tc>
        <w:tc>
          <w:tcPr>
            <w:tcW w:w="937" w:type="dxa"/>
            <w:shd w:val="clear" w:color="000000" w:fill="FFFFFF"/>
            <w:noWrap/>
            <w:hideMark/>
          </w:tcPr>
          <w:p w:rsidR="0017703B" w:rsidRPr="0018706D" w:rsidRDefault="0017703B" w:rsidP="0018706D">
            <w:pPr>
              <w:spacing w:after="0" w:line="240" w:lineRule="auto"/>
              <w:jc w:val="center"/>
              <w:rPr>
                <w:rFonts w:ascii="Times New Roman" w:hAnsi="Times New Roman" w:cs="Times New Roman"/>
                <w:color w:val="000000"/>
                <w:sz w:val="20"/>
                <w:szCs w:val="20"/>
              </w:rPr>
            </w:pPr>
            <w:r w:rsidRPr="0018706D">
              <w:rPr>
                <w:rFonts w:ascii="Times New Roman" w:hAnsi="Times New Roman" w:cs="Times New Roman"/>
                <w:color w:val="000000"/>
                <w:sz w:val="20"/>
                <w:szCs w:val="20"/>
              </w:rPr>
              <w:t>1 375</w:t>
            </w:r>
          </w:p>
        </w:tc>
        <w:tc>
          <w:tcPr>
            <w:tcW w:w="937" w:type="dxa"/>
            <w:shd w:val="clear" w:color="000000" w:fill="FFFFFF"/>
            <w:noWrap/>
            <w:hideMark/>
          </w:tcPr>
          <w:p w:rsidR="0017703B" w:rsidRPr="0018706D" w:rsidRDefault="0017703B" w:rsidP="0018706D">
            <w:pPr>
              <w:spacing w:after="0" w:line="240" w:lineRule="auto"/>
              <w:jc w:val="center"/>
              <w:rPr>
                <w:rFonts w:ascii="Times New Roman" w:hAnsi="Times New Roman" w:cs="Times New Roman"/>
                <w:color w:val="000000"/>
                <w:sz w:val="20"/>
                <w:szCs w:val="20"/>
              </w:rPr>
            </w:pPr>
            <w:r w:rsidRPr="0018706D">
              <w:rPr>
                <w:rFonts w:ascii="Times New Roman" w:hAnsi="Times New Roman" w:cs="Times New Roman"/>
                <w:color w:val="000000"/>
                <w:sz w:val="20"/>
                <w:szCs w:val="20"/>
              </w:rPr>
              <w:t>3 335</w:t>
            </w:r>
          </w:p>
        </w:tc>
      </w:tr>
    </w:tbl>
    <w:p w:rsidR="0017703B" w:rsidRDefault="0017703B" w:rsidP="0017703B">
      <w:pPr>
        <w:pStyle w:val="af1"/>
        <w:spacing w:after="120"/>
        <w:jc w:val="both"/>
        <w:rPr>
          <w:rFonts w:ascii="Times New Roman" w:hAnsi="Times New Roman" w:cs="Times New Roman"/>
          <w:noProof/>
          <w:lang w:val="uk-UA"/>
        </w:rPr>
      </w:pPr>
      <w:r>
        <w:rPr>
          <w:noProof/>
          <w:lang w:val="uk-UA" w:eastAsia="uk-UA" w:bidi="ar-SA"/>
        </w:rPr>
        <w:drawing>
          <wp:inline distT="0" distB="0" distL="0" distR="0" wp14:anchorId="5CFFC824" wp14:editId="5BAE02CA">
            <wp:extent cx="4502150" cy="1793875"/>
            <wp:effectExtent l="0" t="0" r="0" b="0"/>
            <wp:docPr id="28" name="Діаграма 28">
              <a:extLst xmlns:a="http://schemas.openxmlformats.org/drawingml/2006/main">
                <a:ext uri="{FF2B5EF4-FFF2-40B4-BE49-F238E27FC236}">
                  <a16:creationId xmlns:a16="http://schemas.microsoft.com/office/drawing/2014/main" id="{00000000-0008-0000-0B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17703B" w:rsidRPr="00A253F5" w:rsidRDefault="0017703B" w:rsidP="00A253F5">
      <w:pPr>
        <w:pStyle w:val="af1"/>
        <w:ind w:firstLine="567"/>
        <w:jc w:val="both"/>
        <w:rPr>
          <w:rFonts w:ascii="Times New Roman" w:hAnsi="Times New Roman" w:cs="Times New Roman"/>
          <w:sz w:val="24"/>
          <w:lang w:val="uk-UA"/>
        </w:rPr>
      </w:pPr>
      <w:r w:rsidRPr="00A253F5">
        <w:rPr>
          <w:rFonts w:ascii="Times New Roman" w:hAnsi="Times New Roman" w:cs="Times New Roman"/>
          <w:sz w:val="24"/>
          <w:lang w:val="uk-UA"/>
        </w:rPr>
        <w:t>Як показано на діаграмі у 2021 – 2024 роках за базовим сценарієм очікується прибуткова діяльність ДП «НАЕК «Енергоатом», за песимістичним сценарієм у 2021-2022 роках очікуються збитки Підприємства.</w:t>
      </w:r>
    </w:p>
    <w:p w:rsidR="00842F33" w:rsidRDefault="00842F33" w:rsidP="00A253F5">
      <w:pPr>
        <w:spacing w:before="120" w:after="120" w:line="240" w:lineRule="auto"/>
        <w:ind w:firstLine="567"/>
        <w:jc w:val="center"/>
        <w:rPr>
          <w:rFonts w:ascii="Times New Roman" w:hAnsi="Times New Roman" w:cs="Times New Roman"/>
          <w:b/>
          <w:i/>
        </w:rPr>
      </w:pPr>
    </w:p>
    <w:p w:rsidR="0017703B" w:rsidRPr="00A253F5" w:rsidRDefault="0017703B" w:rsidP="00A253F5">
      <w:pPr>
        <w:spacing w:before="120" w:after="120" w:line="240" w:lineRule="auto"/>
        <w:ind w:firstLine="567"/>
        <w:jc w:val="center"/>
        <w:rPr>
          <w:rFonts w:ascii="Times New Roman" w:hAnsi="Times New Roman" w:cs="Times New Roman"/>
          <w:b/>
          <w:i/>
        </w:rPr>
      </w:pPr>
      <w:r w:rsidRPr="00A253F5">
        <w:rPr>
          <w:rFonts w:ascii="Times New Roman" w:hAnsi="Times New Roman" w:cs="Times New Roman"/>
          <w:b/>
          <w:i/>
        </w:rPr>
        <w:t>Коефіцієнт заборгованості ДП «НАЕК «Енергоатом»</w:t>
      </w:r>
    </w:p>
    <w:tbl>
      <w:tblPr>
        <w:tblpPr w:leftFromText="180" w:rightFromText="180" w:vertAnchor="text" w:horzAnchor="margin" w:tblpX="-10" w:tblpY="43"/>
        <w:tblW w:w="97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3"/>
        <w:gridCol w:w="964"/>
        <w:gridCol w:w="964"/>
        <w:gridCol w:w="964"/>
        <w:gridCol w:w="964"/>
        <w:gridCol w:w="964"/>
        <w:gridCol w:w="964"/>
        <w:gridCol w:w="964"/>
      </w:tblGrid>
      <w:tr w:rsidR="0017703B" w:rsidRPr="00103BF4" w:rsidTr="00C4052A">
        <w:trPr>
          <w:trHeight w:val="264"/>
        </w:trPr>
        <w:tc>
          <w:tcPr>
            <w:tcW w:w="2973" w:type="dxa"/>
            <w:shd w:val="clear" w:color="000000" w:fill="FFFFFF"/>
            <w:noWrap/>
            <w:vAlign w:val="bottom"/>
            <w:hideMark/>
          </w:tcPr>
          <w:p w:rsidR="0017703B" w:rsidRPr="00A253F5" w:rsidRDefault="0017703B" w:rsidP="00A253F5">
            <w:pPr>
              <w:spacing w:after="0" w:line="240" w:lineRule="auto"/>
              <w:rPr>
                <w:rFonts w:ascii="Times New Roman" w:hAnsi="Times New Roman" w:cs="Times New Roman"/>
                <w:color w:val="000000"/>
                <w:sz w:val="20"/>
                <w:szCs w:val="20"/>
              </w:rPr>
            </w:pPr>
          </w:p>
        </w:tc>
        <w:tc>
          <w:tcPr>
            <w:tcW w:w="964" w:type="dxa"/>
            <w:shd w:val="clear" w:color="000000" w:fill="FFFFFF"/>
            <w:noWrap/>
            <w:vAlign w:val="bottom"/>
            <w:hideMark/>
          </w:tcPr>
          <w:p w:rsidR="0017703B" w:rsidRPr="00A253F5" w:rsidRDefault="0017703B" w:rsidP="00A253F5">
            <w:pPr>
              <w:spacing w:after="0" w:line="240" w:lineRule="auto"/>
              <w:jc w:val="center"/>
              <w:rPr>
                <w:rFonts w:ascii="Times New Roman" w:hAnsi="Times New Roman" w:cs="Times New Roman"/>
                <w:b/>
                <w:color w:val="000000"/>
                <w:sz w:val="20"/>
                <w:szCs w:val="20"/>
              </w:rPr>
            </w:pPr>
            <w:r w:rsidRPr="00A253F5">
              <w:rPr>
                <w:rFonts w:ascii="Times New Roman" w:hAnsi="Times New Roman" w:cs="Times New Roman"/>
                <w:b/>
                <w:color w:val="000000"/>
                <w:sz w:val="20"/>
                <w:szCs w:val="20"/>
              </w:rPr>
              <w:t>2018</w:t>
            </w:r>
          </w:p>
        </w:tc>
        <w:tc>
          <w:tcPr>
            <w:tcW w:w="964" w:type="dxa"/>
            <w:shd w:val="clear" w:color="000000" w:fill="FFFFFF"/>
            <w:noWrap/>
            <w:vAlign w:val="bottom"/>
            <w:hideMark/>
          </w:tcPr>
          <w:p w:rsidR="0017703B" w:rsidRPr="00A253F5" w:rsidRDefault="0017703B" w:rsidP="00A253F5">
            <w:pPr>
              <w:spacing w:after="0" w:line="240" w:lineRule="auto"/>
              <w:jc w:val="center"/>
              <w:rPr>
                <w:rFonts w:ascii="Times New Roman" w:hAnsi="Times New Roman" w:cs="Times New Roman"/>
                <w:b/>
                <w:color w:val="000000"/>
                <w:sz w:val="20"/>
                <w:szCs w:val="20"/>
              </w:rPr>
            </w:pPr>
            <w:r w:rsidRPr="00A253F5">
              <w:rPr>
                <w:rFonts w:ascii="Times New Roman" w:hAnsi="Times New Roman" w:cs="Times New Roman"/>
                <w:b/>
                <w:color w:val="000000"/>
                <w:sz w:val="20"/>
                <w:szCs w:val="20"/>
              </w:rPr>
              <w:t>2019</w:t>
            </w:r>
          </w:p>
        </w:tc>
        <w:tc>
          <w:tcPr>
            <w:tcW w:w="964" w:type="dxa"/>
            <w:shd w:val="clear" w:color="000000" w:fill="FFFFFF"/>
            <w:noWrap/>
            <w:vAlign w:val="bottom"/>
            <w:hideMark/>
          </w:tcPr>
          <w:p w:rsidR="0017703B" w:rsidRPr="00A253F5" w:rsidRDefault="0017703B" w:rsidP="00A253F5">
            <w:pPr>
              <w:spacing w:after="0" w:line="240" w:lineRule="auto"/>
              <w:jc w:val="center"/>
              <w:rPr>
                <w:rFonts w:ascii="Times New Roman" w:hAnsi="Times New Roman" w:cs="Times New Roman"/>
                <w:b/>
                <w:color w:val="000000"/>
                <w:sz w:val="20"/>
                <w:szCs w:val="20"/>
              </w:rPr>
            </w:pPr>
            <w:r w:rsidRPr="00A253F5">
              <w:rPr>
                <w:rFonts w:ascii="Times New Roman" w:hAnsi="Times New Roman" w:cs="Times New Roman"/>
                <w:b/>
                <w:color w:val="000000"/>
                <w:sz w:val="20"/>
                <w:szCs w:val="20"/>
              </w:rPr>
              <w:t>2020</w:t>
            </w:r>
          </w:p>
        </w:tc>
        <w:tc>
          <w:tcPr>
            <w:tcW w:w="964" w:type="dxa"/>
            <w:shd w:val="clear" w:color="000000" w:fill="FFFFFF"/>
            <w:noWrap/>
            <w:vAlign w:val="bottom"/>
            <w:hideMark/>
          </w:tcPr>
          <w:p w:rsidR="0017703B" w:rsidRPr="00A253F5" w:rsidRDefault="0017703B" w:rsidP="00A253F5">
            <w:pPr>
              <w:spacing w:after="0" w:line="240" w:lineRule="auto"/>
              <w:jc w:val="center"/>
              <w:rPr>
                <w:rFonts w:ascii="Times New Roman" w:hAnsi="Times New Roman" w:cs="Times New Roman"/>
                <w:b/>
                <w:color w:val="000000"/>
                <w:sz w:val="20"/>
                <w:szCs w:val="20"/>
              </w:rPr>
            </w:pPr>
            <w:r w:rsidRPr="00A253F5">
              <w:rPr>
                <w:rFonts w:ascii="Times New Roman" w:hAnsi="Times New Roman" w:cs="Times New Roman"/>
                <w:b/>
                <w:color w:val="000000"/>
                <w:sz w:val="20"/>
                <w:szCs w:val="20"/>
              </w:rPr>
              <w:t>2021</w:t>
            </w:r>
          </w:p>
        </w:tc>
        <w:tc>
          <w:tcPr>
            <w:tcW w:w="964" w:type="dxa"/>
            <w:shd w:val="clear" w:color="000000" w:fill="FFFFFF"/>
            <w:noWrap/>
            <w:vAlign w:val="bottom"/>
            <w:hideMark/>
          </w:tcPr>
          <w:p w:rsidR="0017703B" w:rsidRPr="00A253F5" w:rsidRDefault="0017703B" w:rsidP="00A253F5">
            <w:pPr>
              <w:spacing w:after="0" w:line="240" w:lineRule="auto"/>
              <w:jc w:val="center"/>
              <w:rPr>
                <w:rFonts w:ascii="Times New Roman" w:hAnsi="Times New Roman" w:cs="Times New Roman"/>
                <w:b/>
                <w:color w:val="000000"/>
                <w:sz w:val="20"/>
                <w:szCs w:val="20"/>
              </w:rPr>
            </w:pPr>
            <w:r w:rsidRPr="00A253F5">
              <w:rPr>
                <w:rFonts w:ascii="Times New Roman" w:hAnsi="Times New Roman" w:cs="Times New Roman"/>
                <w:b/>
                <w:color w:val="000000"/>
                <w:sz w:val="20"/>
                <w:szCs w:val="20"/>
              </w:rPr>
              <w:t>2022</w:t>
            </w:r>
          </w:p>
        </w:tc>
        <w:tc>
          <w:tcPr>
            <w:tcW w:w="964" w:type="dxa"/>
            <w:shd w:val="clear" w:color="000000" w:fill="FFFFFF"/>
            <w:noWrap/>
            <w:vAlign w:val="bottom"/>
            <w:hideMark/>
          </w:tcPr>
          <w:p w:rsidR="0017703B" w:rsidRPr="00A253F5" w:rsidRDefault="0017703B" w:rsidP="00A253F5">
            <w:pPr>
              <w:spacing w:after="0" w:line="240" w:lineRule="auto"/>
              <w:jc w:val="center"/>
              <w:rPr>
                <w:rFonts w:ascii="Times New Roman" w:hAnsi="Times New Roman" w:cs="Times New Roman"/>
                <w:b/>
                <w:color w:val="000000"/>
                <w:sz w:val="20"/>
                <w:szCs w:val="20"/>
              </w:rPr>
            </w:pPr>
            <w:r w:rsidRPr="00A253F5">
              <w:rPr>
                <w:rFonts w:ascii="Times New Roman" w:hAnsi="Times New Roman" w:cs="Times New Roman"/>
                <w:b/>
                <w:color w:val="000000"/>
                <w:sz w:val="20"/>
                <w:szCs w:val="20"/>
              </w:rPr>
              <w:t>2023</w:t>
            </w:r>
          </w:p>
        </w:tc>
        <w:tc>
          <w:tcPr>
            <w:tcW w:w="964" w:type="dxa"/>
            <w:shd w:val="clear" w:color="000000" w:fill="FFFFFF"/>
            <w:noWrap/>
            <w:vAlign w:val="bottom"/>
            <w:hideMark/>
          </w:tcPr>
          <w:p w:rsidR="0017703B" w:rsidRPr="00A253F5" w:rsidRDefault="0017703B" w:rsidP="00A253F5">
            <w:pPr>
              <w:spacing w:after="0" w:line="240" w:lineRule="auto"/>
              <w:jc w:val="center"/>
              <w:rPr>
                <w:rFonts w:ascii="Times New Roman" w:hAnsi="Times New Roman" w:cs="Times New Roman"/>
                <w:b/>
                <w:color w:val="000000"/>
                <w:sz w:val="20"/>
                <w:szCs w:val="20"/>
              </w:rPr>
            </w:pPr>
            <w:r w:rsidRPr="00A253F5">
              <w:rPr>
                <w:rFonts w:ascii="Times New Roman" w:hAnsi="Times New Roman" w:cs="Times New Roman"/>
                <w:b/>
                <w:color w:val="000000"/>
                <w:sz w:val="20"/>
                <w:szCs w:val="20"/>
              </w:rPr>
              <w:t>2024</w:t>
            </w:r>
          </w:p>
        </w:tc>
      </w:tr>
      <w:tr w:rsidR="00A0207B" w:rsidRPr="00103BF4" w:rsidTr="00A0207B">
        <w:trPr>
          <w:trHeight w:val="264"/>
        </w:trPr>
        <w:tc>
          <w:tcPr>
            <w:tcW w:w="2973" w:type="dxa"/>
            <w:shd w:val="clear" w:color="000000" w:fill="FFFFFF"/>
            <w:noWrap/>
            <w:vAlign w:val="bottom"/>
            <w:hideMark/>
          </w:tcPr>
          <w:p w:rsidR="00A0207B" w:rsidRPr="00A253F5" w:rsidRDefault="00A0207B" w:rsidP="00A0207B">
            <w:pPr>
              <w:spacing w:after="0" w:line="240" w:lineRule="auto"/>
              <w:rPr>
                <w:rFonts w:ascii="Times New Roman" w:hAnsi="Times New Roman" w:cs="Times New Roman"/>
                <w:color w:val="000000"/>
                <w:sz w:val="20"/>
                <w:szCs w:val="20"/>
              </w:rPr>
            </w:pPr>
            <w:r w:rsidRPr="00A253F5">
              <w:rPr>
                <w:rFonts w:ascii="Times New Roman" w:hAnsi="Times New Roman" w:cs="Times New Roman"/>
                <w:color w:val="000000"/>
                <w:sz w:val="20"/>
                <w:szCs w:val="20"/>
              </w:rPr>
              <w:t>Базовий сценарій</w:t>
            </w:r>
          </w:p>
        </w:tc>
        <w:tc>
          <w:tcPr>
            <w:tcW w:w="964" w:type="dxa"/>
            <w:shd w:val="clear" w:color="000000" w:fill="FFFFFF"/>
            <w:noWrap/>
            <w:vAlign w:val="bottom"/>
            <w:hideMark/>
          </w:tcPr>
          <w:p w:rsidR="00A0207B" w:rsidRPr="00A253F5" w:rsidRDefault="00A0207B" w:rsidP="00A0207B">
            <w:pPr>
              <w:spacing w:after="0" w:line="240" w:lineRule="auto"/>
              <w:jc w:val="right"/>
              <w:rPr>
                <w:rFonts w:ascii="Times New Roman" w:hAnsi="Times New Roman" w:cs="Times New Roman"/>
                <w:color w:val="000000"/>
                <w:sz w:val="20"/>
                <w:szCs w:val="20"/>
              </w:rPr>
            </w:pPr>
            <w:r w:rsidRPr="00A253F5">
              <w:rPr>
                <w:rFonts w:ascii="Times New Roman" w:hAnsi="Times New Roman" w:cs="Times New Roman"/>
                <w:color w:val="000000"/>
                <w:sz w:val="20"/>
                <w:szCs w:val="20"/>
              </w:rPr>
              <w:t>39,61%</w:t>
            </w:r>
          </w:p>
        </w:tc>
        <w:tc>
          <w:tcPr>
            <w:tcW w:w="964" w:type="dxa"/>
            <w:shd w:val="clear" w:color="000000" w:fill="FFFFFF"/>
            <w:noWrap/>
            <w:vAlign w:val="bottom"/>
            <w:hideMark/>
          </w:tcPr>
          <w:p w:rsidR="00A0207B" w:rsidRPr="00A253F5" w:rsidRDefault="00A0207B" w:rsidP="00A0207B">
            <w:pPr>
              <w:spacing w:after="0" w:line="240" w:lineRule="auto"/>
              <w:jc w:val="right"/>
              <w:rPr>
                <w:rFonts w:ascii="Times New Roman" w:hAnsi="Times New Roman" w:cs="Times New Roman"/>
                <w:color w:val="000000"/>
                <w:sz w:val="20"/>
                <w:szCs w:val="20"/>
              </w:rPr>
            </w:pPr>
            <w:r w:rsidRPr="00A253F5">
              <w:rPr>
                <w:rFonts w:ascii="Times New Roman" w:hAnsi="Times New Roman" w:cs="Times New Roman"/>
                <w:color w:val="000000"/>
                <w:sz w:val="20"/>
                <w:szCs w:val="20"/>
              </w:rPr>
              <w:t>38,72%</w:t>
            </w:r>
          </w:p>
        </w:tc>
        <w:tc>
          <w:tcPr>
            <w:tcW w:w="964" w:type="dxa"/>
            <w:shd w:val="clear" w:color="000000" w:fill="FFFFFF"/>
            <w:noWrap/>
            <w:vAlign w:val="bottom"/>
            <w:hideMark/>
          </w:tcPr>
          <w:p w:rsidR="00A0207B" w:rsidRPr="00A253F5" w:rsidRDefault="00A0207B" w:rsidP="00A0207B">
            <w:pPr>
              <w:spacing w:after="0" w:line="240" w:lineRule="auto"/>
              <w:jc w:val="right"/>
              <w:rPr>
                <w:rFonts w:ascii="Times New Roman" w:hAnsi="Times New Roman" w:cs="Times New Roman"/>
                <w:color w:val="000000"/>
                <w:sz w:val="20"/>
                <w:szCs w:val="20"/>
              </w:rPr>
            </w:pPr>
            <w:r w:rsidRPr="00A253F5">
              <w:rPr>
                <w:rFonts w:ascii="Times New Roman" w:hAnsi="Times New Roman" w:cs="Times New Roman"/>
                <w:color w:val="000000"/>
                <w:sz w:val="20"/>
                <w:szCs w:val="20"/>
              </w:rPr>
              <w:t>47,74%</w:t>
            </w:r>
          </w:p>
        </w:tc>
        <w:tc>
          <w:tcPr>
            <w:tcW w:w="964" w:type="dxa"/>
            <w:shd w:val="clear" w:color="000000" w:fill="FFFFFF"/>
            <w:noWrap/>
            <w:vAlign w:val="bottom"/>
            <w:hideMark/>
          </w:tcPr>
          <w:p w:rsidR="00A0207B" w:rsidRPr="00A0207B" w:rsidRDefault="00A0207B" w:rsidP="00A0207B">
            <w:pPr>
              <w:spacing w:after="0" w:line="240" w:lineRule="auto"/>
              <w:jc w:val="right"/>
              <w:rPr>
                <w:rFonts w:ascii="Times New Roman" w:hAnsi="Times New Roman" w:cs="Times New Roman"/>
                <w:color w:val="000000"/>
                <w:sz w:val="20"/>
                <w:szCs w:val="20"/>
              </w:rPr>
            </w:pPr>
            <w:r w:rsidRPr="00A0207B">
              <w:rPr>
                <w:rFonts w:ascii="Times New Roman" w:hAnsi="Times New Roman" w:cs="Times New Roman"/>
                <w:color w:val="000000"/>
                <w:sz w:val="20"/>
                <w:szCs w:val="20"/>
              </w:rPr>
              <w:t>50,87%</w:t>
            </w:r>
          </w:p>
        </w:tc>
        <w:tc>
          <w:tcPr>
            <w:tcW w:w="964" w:type="dxa"/>
            <w:shd w:val="clear" w:color="000000" w:fill="FFFFFF"/>
            <w:noWrap/>
            <w:vAlign w:val="bottom"/>
            <w:hideMark/>
          </w:tcPr>
          <w:p w:rsidR="00A0207B" w:rsidRPr="00A0207B" w:rsidRDefault="00A0207B" w:rsidP="00A0207B">
            <w:pPr>
              <w:spacing w:after="0" w:line="240" w:lineRule="auto"/>
              <w:jc w:val="right"/>
              <w:rPr>
                <w:rFonts w:ascii="Times New Roman" w:hAnsi="Times New Roman" w:cs="Times New Roman"/>
                <w:color w:val="000000"/>
                <w:sz w:val="20"/>
                <w:szCs w:val="20"/>
              </w:rPr>
            </w:pPr>
            <w:r w:rsidRPr="00A0207B">
              <w:rPr>
                <w:rFonts w:ascii="Times New Roman" w:hAnsi="Times New Roman" w:cs="Times New Roman"/>
                <w:color w:val="000000"/>
                <w:sz w:val="20"/>
                <w:szCs w:val="20"/>
              </w:rPr>
              <w:t>50,38%</w:t>
            </w:r>
          </w:p>
        </w:tc>
        <w:tc>
          <w:tcPr>
            <w:tcW w:w="964" w:type="dxa"/>
            <w:shd w:val="clear" w:color="000000" w:fill="FFFFFF"/>
            <w:noWrap/>
            <w:vAlign w:val="bottom"/>
            <w:hideMark/>
          </w:tcPr>
          <w:p w:rsidR="00A0207B" w:rsidRPr="00A0207B" w:rsidRDefault="00A0207B" w:rsidP="00A0207B">
            <w:pPr>
              <w:spacing w:after="0" w:line="240" w:lineRule="auto"/>
              <w:jc w:val="right"/>
              <w:rPr>
                <w:rFonts w:ascii="Times New Roman" w:hAnsi="Times New Roman" w:cs="Times New Roman"/>
                <w:color w:val="000000"/>
                <w:sz w:val="20"/>
                <w:szCs w:val="20"/>
              </w:rPr>
            </w:pPr>
            <w:r w:rsidRPr="00A0207B">
              <w:rPr>
                <w:rFonts w:ascii="Times New Roman" w:hAnsi="Times New Roman" w:cs="Times New Roman"/>
                <w:color w:val="000000"/>
                <w:sz w:val="20"/>
                <w:szCs w:val="20"/>
              </w:rPr>
              <w:t>49,67%</w:t>
            </w:r>
          </w:p>
        </w:tc>
        <w:tc>
          <w:tcPr>
            <w:tcW w:w="964" w:type="dxa"/>
            <w:shd w:val="clear" w:color="000000" w:fill="FFFFFF"/>
            <w:noWrap/>
            <w:vAlign w:val="bottom"/>
            <w:hideMark/>
          </w:tcPr>
          <w:p w:rsidR="00A0207B" w:rsidRPr="00A0207B" w:rsidRDefault="00A0207B" w:rsidP="00A0207B">
            <w:pPr>
              <w:spacing w:after="0" w:line="240" w:lineRule="auto"/>
              <w:jc w:val="right"/>
              <w:rPr>
                <w:rFonts w:ascii="Times New Roman" w:hAnsi="Times New Roman" w:cs="Times New Roman"/>
                <w:color w:val="000000"/>
                <w:sz w:val="20"/>
                <w:szCs w:val="20"/>
              </w:rPr>
            </w:pPr>
            <w:r w:rsidRPr="00A0207B">
              <w:rPr>
                <w:rFonts w:ascii="Times New Roman" w:hAnsi="Times New Roman" w:cs="Times New Roman"/>
                <w:color w:val="000000"/>
                <w:sz w:val="20"/>
                <w:szCs w:val="20"/>
              </w:rPr>
              <w:t>48,63%</w:t>
            </w:r>
          </w:p>
        </w:tc>
      </w:tr>
      <w:tr w:rsidR="0017703B" w:rsidRPr="00103BF4" w:rsidTr="00C4052A">
        <w:trPr>
          <w:trHeight w:val="264"/>
        </w:trPr>
        <w:tc>
          <w:tcPr>
            <w:tcW w:w="2973" w:type="dxa"/>
            <w:shd w:val="clear" w:color="000000" w:fill="FFFFFF"/>
            <w:noWrap/>
            <w:vAlign w:val="bottom"/>
            <w:hideMark/>
          </w:tcPr>
          <w:p w:rsidR="0017703B" w:rsidRPr="00A253F5" w:rsidRDefault="0017703B" w:rsidP="00A253F5">
            <w:pPr>
              <w:spacing w:after="0" w:line="240" w:lineRule="auto"/>
              <w:rPr>
                <w:rFonts w:ascii="Times New Roman" w:hAnsi="Times New Roman" w:cs="Times New Roman"/>
                <w:color w:val="000000"/>
                <w:sz w:val="20"/>
                <w:szCs w:val="20"/>
              </w:rPr>
            </w:pPr>
            <w:r w:rsidRPr="00A253F5">
              <w:rPr>
                <w:rFonts w:ascii="Times New Roman" w:hAnsi="Times New Roman" w:cs="Times New Roman"/>
                <w:color w:val="000000"/>
                <w:sz w:val="20"/>
                <w:szCs w:val="20"/>
              </w:rPr>
              <w:t>Песимістичний сценарій</w:t>
            </w:r>
          </w:p>
        </w:tc>
        <w:tc>
          <w:tcPr>
            <w:tcW w:w="964" w:type="dxa"/>
            <w:shd w:val="clear" w:color="000000" w:fill="FFFFFF"/>
            <w:noWrap/>
            <w:vAlign w:val="bottom"/>
            <w:hideMark/>
          </w:tcPr>
          <w:p w:rsidR="0017703B" w:rsidRPr="00A253F5" w:rsidRDefault="0017703B" w:rsidP="00A253F5">
            <w:pPr>
              <w:spacing w:after="0" w:line="240" w:lineRule="auto"/>
              <w:jc w:val="right"/>
              <w:rPr>
                <w:rFonts w:ascii="Times New Roman" w:hAnsi="Times New Roman" w:cs="Times New Roman"/>
                <w:color w:val="000000"/>
                <w:sz w:val="20"/>
                <w:szCs w:val="20"/>
              </w:rPr>
            </w:pPr>
            <w:r w:rsidRPr="00A253F5">
              <w:rPr>
                <w:rFonts w:ascii="Times New Roman" w:hAnsi="Times New Roman" w:cs="Times New Roman"/>
                <w:color w:val="000000"/>
                <w:sz w:val="20"/>
                <w:szCs w:val="20"/>
              </w:rPr>
              <w:t>39,61%</w:t>
            </w:r>
          </w:p>
        </w:tc>
        <w:tc>
          <w:tcPr>
            <w:tcW w:w="964" w:type="dxa"/>
            <w:shd w:val="clear" w:color="000000" w:fill="FFFFFF"/>
            <w:noWrap/>
            <w:vAlign w:val="bottom"/>
            <w:hideMark/>
          </w:tcPr>
          <w:p w:rsidR="0017703B" w:rsidRPr="00A253F5" w:rsidRDefault="0017703B" w:rsidP="00A253F5">
            <w:pPr>
              <w:spacing w:after="0" w:line="240" w:lineRule="auto"/>
              <w:jc w:val="right"/>
              <w:rPr>
                <w:rFonts w:ascii="Times New Roman" w:hAnsi="Times New Roman" w:cs="Times New Roman"/>
                <w:color w:val="000000"/>
                <w:sz w:val="20"/>
                <w:szCs w:val="20"/>
              </w:rPr>
            </w:pPr>
            <w:r w:rsidRPr="00A253F5">
              <w:rPr>
                <w:rFonts w:ascii="Times New Roman" w:hAnsi="Times New Roman" w:cs="Times New Roman"/>
                <w:color w:val="000000"/>
                <w:sz w:val="20"/>
                <w:szCs w:val="20"/>
              </w:rPr>
              <w:t>38,72%</w:t>
            </w:r>
          </w:p>
        </w:tc>
        <w:tc>
          <w:tcPr>
            <w:tcW w:w="964" w:type="dxa"/>
            <w:shd w:val="clear" w:color="000000" w:fill="FFFFFF"/>
            <w:noWrap/>
            <w:vAlign w:val="bottom"/>
            <w:hideMark/>
          </w:tcPr>
          <w:p w:rsidR="0017703B" w:rsidRPr="00A253F5" w:rsidRDefault="0017703B" w:rsidP="00A253F5">
            <w:pPr>
              <w:spacing w:after="0" w:line="240" w:lineRule="auto"/>
              <w:jc w:val="right"/>
              <w:rPr>
                <w:rFonts w:ascii="Times New Roman" w:hAnsi="Times New Roman" w:cs="Times New Roman"/>
                <w:color w:val="000000"/>
                <w:sz w:val="20"/>
                <w:szCs w:val="20"/>
              </w:rPr>
            </w:pPr>
            <w:r w:rsidRPr="00A253F5">
              <w:rPr>
                <w:rFonts w:ascii="Times New Roman" w:hAnsi="Times New Roman" w:cs="Times New Roman"/>
                <w:color w:val="000000"/>
                <w:sz w:val="20"/>
                <w:szCs w:val="20"/>
              </w:rPr>
              <w:t>47,74%</w:t>
            </w:r>
          </w:p>
        </w:tc>
        <w:tc>
          <w:tcPr>
            <w:tcW w:w="964" w:type="dxa"/>
            <w:shd w:val="clear" w:color="000000" w:fill="FFFFFF"/>
            <w:noWrap/>
            <w:vAlign w:val="bottom"/>
            <w:hideMark/>
          </w:tcPr>
          <w:p w:rsidR="0017703B" w:rsidRPr="00A253F5" w:rsidRDefault="0017703B" w:rsidP="00A253F5">
            <w:pPr>
              <w:spacing w:after="0" w:line="240" w:lineRule="auto"/>
              <w:jc w:val="right"/>
              <w:rPr>
                <w:rFonts w:ascii="Times New Roman" w:hAnsi="Times New Roman" w:cs="Times New Roman"/>
                <w:color w:val="000000"/>
                <w:sz w:val="20"/>
                <w:szCs w:val="20"/>
              </w:rPr>
            </w:pPr>
            <w:r w:rsidRPr="00A253F5">
              <w:rPr>
                <w:rFonts w:ascii="Times New Roman" w:hAnsi="Times New Roman" w:cs="Times New Roman"/>
                <w:color w:val="000000"/>
                <w:sz w:val="20"/>
                <w:szCs w:val="20"/>
              </w:rPr>
              <w:t>50,49%</w:t>
            </w:r>
          </w:p>
        </w:tc>
        <w:tc>
          <w:tcPr>
            <w:tcW w:w="964" w:type="dxa"/>
            <w:shd w:val="clear" w:color="000000" w:fill="FFFFFF"/>
            <w:noWrap/>
            <w:vAlign w:val="bottom"/>
            <w:hideMark/>
          </w:tcPr>
          <w:p w:rsidR="0017703B" w:rsidRPr="00A253F5" w:rsidRDefault="0017703B" w:rsidP="00A253F5">
            <w:pPr>
              <w:spacing w:after="0" w:line="240" w:lineRule="auto"/>
              <w:jc w:val="right"/>
              <w:rPr>
                <w:rFonts w:ascii="Times New Roman" w:hAnsi="Times New Roman" w:cs="Times New Roman"/>
                <w:color w:val="000000"/>
                <w:sz w:val="20"/>
                <w:szCs w:val="20"/>
              </w:rPr>
            </w:pPr>
            <w:r w:rsidRPr="00A253F5">
              <w:rPr>
                <w:rFonts w:ascii="Times New Roman" w:hAnsi="Times New Roman" w:cs="Times New Roman"/>
                <w:color w:val="000000"/>
                <w:sz w:val="20"/>
                <w:szCs w:val="20"/>
              </w:rPr>
              <w:t>50,21%</w:t>
            </w:r>
          </w:p>
        </w:tc>
        <w:tc>
          <w:tcPr>
            <w:tcW w:w="964" w:type="dxa"/>
            <w:shd w:val="clear" w:color="000000" w:fill="FFFFFF"/>
            <w:noWrap/>
            <w:vAlign w:val="bottom"/>
            <w:hideMark/>
          </w:tcPr>
          <w:p w:rsidR="0017703B" w:rsidRPr="00A253F5" w:rsidRDefault="0017703B" w:rsidP="00A253F5">
            <w:pPr>
              <w:spacing w:after="0" w:line="240" w:lineRule="auto"/>
              <w:jc w:val="right"/>
              <w:rPr>
                <w:rFonts w:ascii="Times New Roman" w:hAnsi="Times New Roman" w:cs="Times New Roman"/>
                <w:color w:val="000000"/>
                <w:sz w:val="20"/>
                <w:szCs w:val="20"/>
              </w:rPr>
            </w:pPr>
            <w:r w:rsidRPr="00A253F5">
              <w:rPr>
                <w:rFonts w:ascii="Times New Roman" w:hAnsi="Times New Roman" w:cs="Times New Roman"/>
                <w:color w:val="000000"/>
                <w:sz w:val="20"/>
                <w:szCs w:val="20"/>
              </w:rPr>
              <w:t>50,09%</w:t>
            </w:r>
          </w:p>
        </w:tc>
        <w:tc>
          <w:tcPr>
            <w:tcW w:w="964" w:type="dxa"/>
            <w:shd w:val="clear" w:color="000000" w:fill="FFFFFF"/>
            <w:noWrap/>
            <w:vAlign w:val="bottom"/>
            <w:hideMark/>
          </w:tcPr>
          <w:p w:rsidR="0017703B" w:rsidRPr="00A253F5" w:rsidRDefault="0017703B" w:rsidP="00A253F5">
            <w:pPr>
              <w:spacing w:after="0" w:line="240" w:lineRule="auto"/>
              <w:jc w:val="right"/>
              <w:rPr>
                <w:rFonts w:ascii="Times New Roman" w:hAnsi="Times New Roman" w:cs="Times New Roman"/>
                <w:color w:val="000000"/>
                <w:sz w:val="20"/>
                <w:szCs w:val="20"/>
              </w:rPr>
            </w:pPr>
            <w:r w:rsidRPr="00A253F5">
              <w:rPr>
                <w:rFonts w:ascii="Times New Roman" w:hAnsi="Times New Roman" w:cs="Times New Roman"/>
                <w:color w:val="000000"/>
                <w:sz w:val="20"/>
                <w:szCs w:val="20"/>
              </w:rPr>
              <w:t>50,02%</w:t>
            </w:r>
          </w:p>
        </w:tc>
      </w:tr>
    </w:tbl>
    <w:p w:rsidR="0017703B" w:rsidRDefault="0017703B" w:rsidP="0017703B">
      <w:pPr>
        <w:pStyle w:val="af1"/>
        <w:tabs>
          <w:tab w:val="left" w:pos="709"/>
        </w:tabs>
        <w:spacing w:after="120"/>
        <w:jc w:val="both"/>
        <w:rPr>
          <w:noProof/>
          <w:lang w:val="ru-RU"/>
        </w:rPr>
      </w:pPr>
      <w:r>
        <w:rPr>
          <w:noProof/>
          <w:lang w:val="uk-UA" w:eastAsia="uk-UA" w:bidi="ar-SA"/>
        </w:rPr>
        <w:drawing>
          <wp:inline distT="0" distB="0" distL="0" distR="0" wp14:anchorId="3DADE6EF" wp14:editId="538139B6">
            <wp:extent cx="4419600" cy="1289539"/>
            <wp:effectExtent l="0" t="0" r="0" b="6350"/>
            <wp:docPr id="22" name="Діаграма 22">
              <a:extLst xmlns:a="http://schemas.openxmlformats.org/drawingml/2006/main">
                <a:ext uri="{FF2B5EF4-FFF2-40B4-BE49-F238E27FC236}">
                  <a16:creationId xmlns:a16="http://schemas.microsoft.com/office/drawing/2014/main" id="{00000000-0008-0000-0B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927EE1" w:rsidRDefault="00927EE1" w:rsidP="0017703B">
      <w:pPr>
        <w:pStyle w:val="af1"/>
        <w:ind w:firstLine="567"/>
        <w:jc w:val="both"/>
        <w:rPr>
          <w:rFonts w:ascii="Times New Roman" w:hAnsi="Times New Roman" w:cs="Times New Roman"/>
          <w:sz w:val="24"/>
          <w:lang w:val="uk-UA"/>
        </w:rPr>
      </w:pPr>
    </w:p>
    <w:p w:rsidR="0017703B" w:rsidRDefault="0017703B" w:rsidP="0017703B">
      <w:pPr>
        <w:pStyle w:val="af1"/>
        <w:ind w:firstLine="567"/>
        <w:jc w:val="both"/>
        <w:rPr>
          <w:rFonts w:ascii="Times New Roman" w:hAnsi="Times New Roman" w:cs="Times New Roman"/>
          <w:sz w:val="24"/>
          <w:lang w:val="uk-UA"/>
        </w:rPr>
      </w:pPr>
      <w:r w:rsidRPr="00A253F5">
        <w:rPr>
          <w:rFonts w:ascii="Times New Roman" w:hAnsi="Times New Roman" w:cs="Times New Roman"/>
          <w:sz w:val="24"/>
          <w:lang w:val="uk-UA"/>
        </w:rPr>
        <w:t>У 2020 році відбулось збільшення коефіцієнта заборгованості ДП «НАЕК «Енергоатом» на 9 відсоткових пунктів, що свідчить про значне зростання залежності Підприємства від позикового капіталу та зниження його спроможності фінансувати свою діяльність за рахунок власних коштів. У 2021 – 2024 роках за обома сценаріями зниження залежності Підприємства від позикового капіталу не очікується.</w:t>
      </w:r>
    </w:p>
    <w:p w:rsidR="0017703B" w:rsidRPr="00A253F5" w:rsidRDefault="0017703B" w:rsidP="00A253F5">
      <w:pPr>
        <w:spacing w:before="120" w:after="120" w:line="240" w:lineRule="auto"/>
        <w:ind w:firstLine="567"/>
        <w:jc w:val="center"/>
        <w:rPr>
          <w:rFonts w:ascii="Times New Roman" w:hAnsi="Times New Roman" w:cs="Times New Roman"/>
          <w:b/>
          <w:i/>
        </w:rPr>
      </w:pPr>
      <w:r w:rsidRPr="00A253F5">
        <w:rPr>
          <w:rFonts w:ascii="Times New Roman" w:hAnsi="Times New Roman" w:cs="Times New Roman"/>
          <w:b/>
          <w:i/>
        </w:rPr>
        <w:t>Коефіцієнт поточної ліквідності ДП «НАЕК «Енергоатом»</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09"/>
        <w:gridCol w:w="948"/>
        <w:gridCol w:w="947"/>
        <w:gridCol w:w="947"/>
        <w:gridCol w:w="947"/>
        <w:gridCol w:w="947"/>
        <w:gridCol w:w="947"/>
        <w:gridCol w:w="947"/>
      </w:tblGrid>
      <w:tr w:rsidR="0017703B" w:rsidRPr="00450FA1" w:rsidTr="00C4052A">
        <w:trPr>
          <w:trHeight w:val="264"/>
        </w:trPr>
        <w:tc>
          <w:tcPr>
            <w:tcW w:w="3009" w:type="dxa"/>
            <w:shd w:val="clear" w:color="000000" w:fill="FFFFFF"/>
            <w:noWrap/>
            <w:vAlign w:val="bottom"/>
            <w:hideMark/>
          </w:tcPr>
          <w:p w:rsidR="0017703B" w:rsidRPr="00A253F5" w:rsidRDefault="0017703B" w:rsidP="00A253F5">
            <w:pPr>
              <w:spacing w:after="0" w:line="240" w:lineRule="auto"/>
              <w:rPr>
                <w:rFonts w:ascii="Times New Roman" w:hAnsi="Times New Roman" w:cs="Times New Roman"/>
                <w:color w:val="000000"/>
                <w:sz w:val="20"/>
                <w:szCs w:val="20"/>
              </w:rPr>
            </w:pPr>
          </w:p>
        </w:tc>
        <w:tc>
          <w:tcPr>
            <w:tcW w:w="948" w:type="dxa"/>
            <w:shd w:val="clear" w:color="000000" w:fill="FFFFFF"/>
            <w:noWrap/>
            <w:vAlign w:val="bottom"/>
            <w:hideMark/>
          </w:tcPr>
          <w:p w:rsidR="0017703B" w:rsidRPr="00A253F5" w:rsidRDefault="0017703B" w:rsidP="00A253F5">
            <w:pPr>
              <w:spacing w:after="0" w:line="240" w:lineRule="auto"/>
              <w:jc w:val="center"/>
              <w:rPr>
                <w:rFonts w:ascii="Times New Roman" w:hAnsi="Times New Roman" w:cs="Times New Roman"/>
                <w:b/>
                <w:color w:val="000000"/>
                <w:sz w:val="20"/>
                <w:szCs w:val="20"/>
              </w:rPr>
            </w:pPr>
            <w:r w:rsidRPr="00A253F5">
              <w:rPr>
                <w:rFonts w:ascii="Times New Roman" w:hAnsi="Times New Roman" w:cs="Times New Roman"/>
                <w:b/>
                <w:color w:val="000000"/>
                <w:sz w:val="20"/>
                <w:szCs w:val="20"/>
              </w:rPr>
              <w:t>2018</w:t>
            </w:r>
          </w:p>
        </w:tc>
        <w:tc>
          <w:tcPr>
            <w:tcW w:w="947" w:type="dxa"/>
            <w:shd w:val="clear" w:color="000000" w:fill="FFFFFF"/>
            <w:noWrap/>
            <w:vAlign w:val="bottom"/>
            <w:hideMark/>
          </w:tcPr>
          <w:p w:rsidR="0017703B" w:rsidRPr="00A253F5" w:rsidRDefault="0017703B" w:rsidP="00A253F5">
            <w:pPr>
              <w:spacing w:after="0" w:line="240" w:lineRule="auto"/>
              <w:jc w:val="center"/>
              <w:rPr>
                <w:rFonts w:ascii="Times New Roman" w:hAnsi="Times New Roman" w:cs="Times New Roman"/>
                <w:b/>
                <w:color w:val="000000"/>
                <w:sz w:val="20"/>
                <w:szCs w:val="20"/>
              </w:rPr>
            </w:pPr>
            <w:r w:rsidRPr="00A253F5">
              <w:rPr>
                <w:rFonts w:ascii="Times New Roman" w:hAnsi="Times New Roman" w:cs="Times New Roman"/>
                <w:b/>
                <w:color w:val="000000"/>
                <w:sz w:val="20"/>
                <w:szCs w:val="20"/>
              </w:rPr>
              <w:t>2019</w:t>
            </w:r>
          </w:p>
        </w:tc>
        <w:tc>
          <w:tcPr>
            <w:tcW w:w="947" w:type="dxa"/>
            <w:shd w:val="clear" w:color="000000" w:fill="FFFFFF"/>
            <w:noWrap/>
            <w:vAlign w:val="bottom"/>
            <w:hideMark/>
          </w:tcPr>
          <w:p w:rsidR="0017703B" w:rsidRPr="00A253F5" w:rsidRDefault="0017703B" w:rsidP="00A253F5">
            <w:pPr>
              <w:spacing w:after="0" w:line="240" w:lineRule="auto"/>
              <w:jc w:val="center"/>
              <w:rPr>
                <w:rFonts w:ascii="Times New Roman" w:hAnsi="Times New Roman" w:cs="Times New Roman"/>
                <w:b/>
                <w:color w:val="000000"/>
                <w:sz w:val="20"/>
                <w:szCs w:val="20"/>
              </w:rPr>
            </w:pPr>
            <w:r w:rsidRPr="00A253F5">
              <w:rPr>
                <w:rFonts w:ascii="Times New Roman" w:hAnsi="Times New Roman" w:cs="Times New Roman"/>
                <w:b/>
                <w:color w:val="000000"/>
                <w:sz w:val="20"/>
                <w:szCs w:val="20"/>
              </w:rPr>
              <w:t>2020</w:t>
            </w:r>
          </w:p>
        </w:tc>
        <w:tc>
          <w:tcPr>
            <w:tcW w:w="947" w:type="dxa"/>
            <w:shd w:val="clear" w:color="000000" w:fill="FFFFFF"/>
            <w:noWrap/>
            <w:vAlign w:val="bottom"/>
            <w:hideMark/>
          </w:tcPr>
          <w:p w:rsidR="0017703B" w:rsidRPr="00A253F5" w:rsidRDefault="0017703B" w:rsidP="00A253F5">
            <w:pPr>
              <w:spacing w:after="0" w:line="240" w:lineRule="auto"/>
              <w:jc w:val="center"/>
              <w:rPr>
                <w:rFonts w:ascii="Times New Roman" w:hAnsi="Times New Roman" w:cs="Times New Roman"/>
                <w:b/>
                <w:color w:val="000000"/>
                <w:sz w:val="20"/>
                <w:szCs w:val="20"/>
              </w:rPr>
            </w:pPr>
            <w:r w:rsidRPr="00A253F5">
              <w:rPr>
                <w:rFonts w:ascii="Times New Roman" w:hAnsi="Times New Roman" w:cs="Times New Roman"/>
                <w:b/>
                <w:color w:val="000000"/>
                <w:sz w:val="20"/>
                <w:szCs w:val="20"/>
              </w:rPr>
              <w:t>2021</w:t>
            </w:r>
          </w:p>
        </w:tc>
        <w:tc>
          <w:tcPr>
            <w:tcW w:w="947" w:type="dxa"/>
            <w:shd w:val="clear" w:color="000000" w:fill="FFFFFF"/>
            <w:noWrap/>
            <w:vAlign w:val="bottom"/>
            <w:hideMark/>
          </w:tcPr>
          <w:p w:rsidR="0017703B" w:rsidRPr="00A253F5" w:rsidRDefault="0017703B" w:rsidP="00A253F5">
            <w:pPr>
              <w:spacing w:after="0" w:line="240" w:lineRule="auto"/>
              <w:jc w:val="center"/>
              <w:rPr>
                <w:rFonts w:ascii="Times New Roman" w:hAnsi="Times New Roman" w:cs="Times New Roman"/>
                <w:b/>
                <w:color w:val="000000"/>
                <w:sz w:val="20"/>
                <w:szCs w:val="20"/>
              </w:rPr>
            </w:pPr>
            <w:r w:rsidRPr="00A253F5">
              <w:rPr>
                <w:rFonts w:ascii="Times New Roman" w:hAnsi="Times New Roman" w:cs="Times New Roman"/>
                <w:b/>
                <w:color w:val="000000"/>
                <w:sz w:val="20"/>
                <w:szCs w:val="20"/>
              </w:rPr>
              <w:t>2022</w:t>
            </w:r>
          </w:p>
        </w:tc>
        <w:tc>
          <w:tcPr>
            <w:tcW w:w="947" w:type="dxa"/>
            <w:shd w:val="clear" w:color="000000" w:fill="FFFFFF"/>
            <w:noWrap/>
            <w:vAlign w:val="bottom"/>
            <w:hideMark/>
          </w:tcPr>
          <w:p w:rsidR="0017703B" w:rsidRPr="00A253F5" w:rsidRDefault="0017703B" w:rsidP="00A253F5">
            <w:pPr>
              <w:spacing w:after="0" w:line="240" w:lineRule="auto"/>
              <w:jc w:val="center"/>
              <w:rPr>
                <w:rFonts w:ascii="Times New Roman" w:hAnsi="Times New Roman" w:cs="Times New Roman"/>
                <w:b/>
                <w:color w:val="000000"/>
                <w:sz w:val="20"/>
                <w:szCs w:val="20"/>
              </w:rPr>
            </w:pPr>
            <w:r w:rsidRPr="00A253F5">
              <w:rPr>
                <w:rFonts w:ascii="Times New Roman" w:hAnsi="Times New Roman" w:cs="Times New Roman"/>
                <w:b/>
                <w:color w:val="000000"/>
                <w:sz w:val="20"/>
                <w:szCs w:val="20"/>
              </w:rPr>
              <w:t>2023</w:t>
            </w:r>
          </w:p>
        </w:tc>
        <w:tc>
          <w:tcPr>
            <w:tcW w:w="947" w:type="dxa"/>
            <w:shd w:val="clear" w:color="000000" w:fill="FFFFFF"/>
            <w:noWrap/>
            <w:vAlign w:val="bottom"/>
            <w:hideMark/>
          </w:tcPr>
          <w:p w:rsidR="0017703B" w:rsidRPr="00A253F5" w:rsidRDefault="0017703B" w:rsidP="00A253F5">
            <w:pPr>
              <w:spacing w:after="0" w:line="240" w:lineRule="auto"/>
              <w:jc w:val="center"/>
              <w:rPr>
                <w:rFonts w:ascii="Times New Roman" w:hAnsi="Times New Roman" w:cs="Times New Roman"/>
                <w:b/>
                <w:color w:val="000000"/>
                <w:sz w:val="20"/>
                <w:szCs w:val="20"/>
              </w:rPr>
            </w:pPr>
            <w:r w:rsidRPr="00A253F5">
              <w:rPr>
                <w:rFonts w:ascii="Times New Roman" w:hAnsi="Times New Roman" w:cs="Times New Roman"/>
                <w:b/>
                <w:color w:val="000000"/>
                <w:sz w:val="20"/>
                <w:szCs w:val="20"/>
              </w:rPr>
              <w:t>2024</w:t>
            </w:r>
          </w:p>
        </w:tc>
      </w:tr>
      <w:tr w:rsidR="0017703B" w:rsidRPr="00450FA1" w:rsidTr="00C4052A">
        <w:trPr>
          <w:trHeight w:val="264"/>
        </w:trPr>
        <w:tc>
          <w:tcPr>
            <w:tcW w:w="3009" w:type="dxa"/>
            <w:shd w:val="clear" w:color="000000" w:fill="FFFFFF"/>
            <w:noWrap/>
            <w:vAlign w:val="bottom"/>
            <w:hideMark/>
          </w:tcPr>
          <w:p w:rsidR="0017703B" w:rsidRPr="00A253F5" w:rsidRDefault="0017703B" w:rsidP="00A253F5">
            <w:pPr>
              <w:spacing w:after="0" w:line="240" w:lineRule="auto"/>
              <w:rPr>
                <w:rFonts w:ascii="Times New Roman" w:hAnsi="Times New Roman" w:cs="Times New Roman"/>
                <w:color w:val="000000"/>
                <w:sz w:val="20"/>
                <w:szCs w:val="20"/>
              </w:rPr>
            </w:pPr>
            <w:r w:rsidRPr="00A253F5">
              <w:rPr>
                <w:rFonts w:ascii="Times New Roman" w:hAnsi="Times New Roman" w:cs="Times New Roman"/>
                <w:color w:val="000000"/>
                <w:sz w:val="20"/>
                <w:szCs w:val="20"/>
              </w:rPr>
              <w:t>Базовий сценарій</w:t>
            </w:r>
          </w:p>
        </w:tc>
        <w:tc>
          <w:tcPr>
            <w:tcW w:w="948" w:type="dxa"/>
            <w:shd w:val="clear" w:color="000000" w:fill="FFFFFF"/>
            <w:noWrap/>
            <w:vAlign w:val="bottom"/>
            <w:hideMark/>
          </w:tcPr>
          <w:p w:rsidR="0017703B" w:rsidRPr="00A253F5" w:rsidRDefault="0017703B" w:rsidP="00A253F5">
            <w:pPr>
              <w:spacing w:after="0" w:line="240" w:lineRule="auto"/>
              <w:jc w:val="right"/>
              <w:rPr>
                <w:rFonts w:ascii="Times New Roman" w:hAnsi="Times New Roman" w:cs="Times New Roman"/>
                <w:color w:val="000000"/>
                <w:sz w:val="20"/>
                <w:szCs w:val="20"/>
              </w:rPr>
            </w:pPr>
            <w:r w:rsidRPr="00A253F5">
              <w:rPr>
                <w:rFonts w:ascii="Times New Roman" w:hAnsi="Times New Roman" w:cs="Times New Roman"/>
                <w:color w:val="000000"/>
                <w:sz w:val="20"/>
                <w:szCs w:val="20"/>
              </w:rPr>
              <w:t>1,18</w:t>
            </w:r>
          </w:p>
        </w:tc>
        <w:tc>
          <w:tcPr>
            <w:tcW w:w="947" w:type="dxa"/>
            <w:shd w:val="clear" w:color="000000" w:fill="FFFFFF"/>
            <w:noWrap/>
            <w:vAlign w:val="bottom"/>
            <w:hideMark/>
          </w:tcPr>
          <w:p w:rsidR="0017703B" w:rsidRPr="00A253F5" w:rsidRDefault="0017703B" w:rsidP="00A253F5">
            <w:pPr>
              <w:spacing w:after="0" w:line="240" w:lineRule="auto"/>
              <w:jc w:val="right"/>
              <w:rPr>
                <w:rFonts w:ascii="Times New Roman" w:hAnsi="Times New Roman" w:cs="Times New Roman"/>
                <w:color w:val="000000"/>
                <w:sz w:val="20"/>
                <w:szCs w:val="20"/>
              </w:rPr>
            </w:pPr>
            <w:r w:rsidRPr="00A253F5">
              <w:rPr>
                <w:rFonts w:ascii="Times New Roman" w:hAnsi="Times New Roman" w:cs="Times New Roman"/>
                <w:color w:val="000000"/>
                <w:sz w:val="20"/>
                <w:szCs w:val="20"/>
              </w:rPr>
              <w:t>1,03</w:t>
            </w:r>
          </w:p>
        </w:tc>
        <w:tc>
          <w:tcPr>
            <w:tcW w:w="947" w:type="dxa"/>
            <w:shd w:val="clear" w:color="000000" w:fill="FFFFFF"/>
            <w:noWrap/>
            <w:vAlign w:val="bottom"/>
            <w:hideMark/>
          </w:tcPr>
          <w:p w:rsidR="0017703B" w:rsidRPr="00A253F5" w:rsidRDefault="0017703B" w:rsidP="00A253F5">
            <w:pPr>
              <w:spacing w:after="0" w:line="240" w:lineRule="auto"/>
              <w:jc w:val="right"/>
              <w:rPr>
                <w:rFonts w:ascii="Times New Roman" w:hAnsi="Times New Roman" w:cs="Times New Roman"/>
                <w:color w:val="000000"/>
                <w:sz w:val="20"/>
                <w:szCs w:val="20"/>
              </w:rPr>
            </w:pPr>
            <w:r w:rsidRPr="00A253F5">
              <w:rPr>
                <w:rFonts w:ascii="Times New Roman" w:hAnsi="Times New Roman" w:cs="Times New Roman"/>
                <w:color w:val="000000"/>
                <w:sz w:val="20"/>
                <w:szCs w:val="20"/>
              </w:rPr>
              <w:t>1,04</w:t>
            </w:r>
          </w:p>
        </w:tc>
        <w:tc>
          <w:tcPr>
            <w:tcW w:w="947" w:type="dxa"/>
            <w:shd w:val="clear" w:color="000000" w:fill="FFFFFF"/>
            <w:noWrap/>
            <w:vAlign w:val="bottom"/>
            <w:hideMark/>
          </w:tcPr>
          <w:p w:rsidR="0017703B" w:rsidRPr="00A253F5" w:rsidRDefault="0017703B" w:rsidP="00A253F5">
            <w:pPr>
              <w:spacing w:after="0" w:line="240" w:lineRule="auto"/>
              <w:jc w:val="right"/>
              <w:rPr>
                <w:rFonts w:ascii="Times New Roman" w:hAnsi="Times New Roman" w:cs="Times New Roman"/>
                <w:color w:val="000000"/>
                <w:sz w:val="20"/>
                <w:szCs w:val="20"/>
              </w:rPr>
            </w:pPr>
            <w:r w:rsidRPr="00A253F5">
              <w:rPr>
                <w:rFonts w:ascii="Times New Roman" w:hAnsi="Times New Roman" w:cs="Times New Roman"/>
                <w:color w:val="000000"/>
                <w:sz w:val="20"/>
                <w:szCs w:val="20"/>
              </w:rPr>
              <w:t>1,41</w:t>
            </w:r>
          </w:p>
        </w:tc>
        <w:tc>
          <w:tcPr>
            <w:tcW w:w="947" w:type="dxa"/>
            <w:shd w:val="clear" w:color="000000" w:fill="FFFFFF"/>
            <w:noWrap/>
            <w:vAlign w:val="bottom"/>
            <w:hideMark/>
          </w:tcPr>
          <w:p w:rsidR="0017703B" w:rsidRPr="00A253F5" w:rsidRDefault="0017703B" w:rsidP="00A0207B">
            <w:pPr>
              <w:spacing w:after="0" w:line="240" w:lineRule="auto"/>
              <w:jc w:val="right"/>
              <w:rPr>
                <w:rFonts w:ascii="Times New Roman" w:hAnsi="Times New Roman" w:cs="Times New Roman"/>
                <w:color w:val="000000"/>
                <w:sz w:val="20"/>
                <w:szCs w:val="20"/>
              </w:rPr>
            </w:pPr>
            <w:r w:rsidRPr="00A253F5">
              <w:rPr>
                <w:rFonts w:ascii="Times New Roman" w:hAnsi="Times New Roman" w:cs="Times New Roman"/>
                <w:color w:val="000000"/>
                <w:sz w:val="20"/>
                <w:szCs w:val="20"/>
              </w:rPr>
              <w:t>1,3</w:t>
            </w:r>
            <w:r w:rsidR="00A0207B">
              <w:rPr>
                <w:rFonts w:ascii="Times New Roman" w:hAnsi="Times New Roman" w:cs="Times New Roman"/>
                <w:color w:val="000000"/>
                <w:sz w:val="20"/>
                <w:szCs w:val="20"/>
              </w:rPr>
              <w:t>3</w:t>
            </w:r>
          </w:p>
        </w:tc>
        <w:tc>
          <w:tcPr>
            <w:tcW w:w="947" w:type="dxa"/>
            <w:shd w:val="clear" w:color="000000" w:fill="FFFFFF"/>
            <w:noWrap/>
            <w:vAlign w:val="bottom"/>
            <w:hideMark/>
          </w:tcPr>
          <w:p w:rsidR="0017703B" w:rsidRPr="00A253F5" w:rsidRDefault="0017703B" w:rsidP="00A253F5">
            <w:pPr>
              <w:spacing w:after="0" w:line="240" w:lineRule="auto"/>
              <w:jc w:val="right"/>
              <w:rPr>
                <w:rFonts w:ascii="Times New Roman" w:hAnsi="Times New Roman" w:cs="Times New Roman"/>
                <w:color w:val="000000"/>
                <w:sz w:val="20"/>
                <w:szCs w:val="20"/>
              </w:rPr>
            </w:pPr>
            <w:r w:rsidRPr="00A253F5">
              <w:rPr>
                <w:rFonts w:ascii="Times New Roman" w:hAnsi="Times New Roman" w:cs="Times New Roman"/>
                <w:color w:val="000000"/>
                <w:sz w:val="20"/>
                <w:szCs w:val="20"/>
              </w:rPr>
              <w:t>1,33</w:t>
            </w:r>
          </w:p>
        </w:tc>
        <w:tc>
          <w:tcPr>
            <w:tcW w:w="947" w:type="dxa"/>
            <w:shd w:val="clear" w:color="000000" w:fill="FFFFFF"/>
            <w:noWrap/>
            <w:vAlign w:val="bottom"/>
            <w:hideMark/>
          </w:tcPr>
          <w:p w:rsidR="0017703B" w:rsidRPr="00A253F5" w:rsidRDefault="0017703B" w:rsidP="00A0207B">
            <w:pPr>
              <w:spacing w:after="0" w:line="240" w:lineRule="auto"/>
              <w:jc w:val="right"/>
              <w:rPr>
                <w:rFonts w:ascii="Times New Roman" w:hAnsi="Times New Roman" w:cs="Times New Roman"/>
                <w:color w:val="000000"/>
                <w:sz w:val="20"/>
                <w:szCs w:val="20"/>
              </w:rPr>
            </w:pPr>
            <w:r w:rsidRPr="00A253F5">
              <w:rPr>
                <w:rFonts w:ascii="Times New Roman" w:hAnsi="Times New Roman" w:cs="Times New Roman"/>
                <w:color w:val="000000"/>
                <w:sz w:val="20"/>
                <w:szCs w:val="20"/>
              </w:rPr>
              <w:t>1,3</w:t>
            </w:r>
            <w:r w:rsidR="00A0207B">
              <w:rPr>
                <w:rFonts w:ascii="Times New Roman" w:hAnsi="Times New Roman" w:cs="Times New Roman"/>
                <w:color w:val="000000"/>
                <w:sz w:val="20"/>
                <w:szCs w:val="20"/>
              </w:rPr>
              <w:t>6</w:t>
            </w:r>
          </w:p>
        </w:tc>
      </w:tr>
      <w:tr w:rsidR="0017703B" w:rsidRPr="00450FA1" w:rsidTr="00C4052A">
        <w:trPr>
          <w:trHeight w:val="264"/>
        </w:trPr>
        <w:tc>
          <w:tcPr>
            <w:tcW w:w="3009" w:type="dxa"/>
            <w:shd w:val="clear" w:color="000000" w:fill="FFFFFF"/>
            <w:noWrap/>
            <w:vAlign w:val="bottom"/>
            <w:hideMark/>
          </w:tcPr>
          <w:p w:rsidR="0017703B" w:rsidRPr="00A253F5" w:rsidRDefault="0017703B" w:rsidP="00A253F5">
            <w:pPr>
              <w:spacing w:after="0" w:line="240" w:lineRule="auto"/>
              <w:rPr>
                <w:rFonts w:ascii="Times New Roman" w:hAnsi="Times New Roman" w:cs="Times New Roman"/>
                <w:color w:val="000000"/>
                <w:sz w:val="20"/>
                <w:szCs w:val="20"/>
              </w:rPr>
            </w:pPr>
            <w:r w:rsidRPr="00A253F5">
              <w:rPr>
                <w:rFonts w:ascii="Times New Roman" w:hAnsi="Times New Roman" w:cs="Times New Roman"/>
                <w:color w:val="000000"/>
                <w:sz w:val="20"/>
                <w:szCs w:val="20"/>
              </w:rPr>
              <w:t>Песимістичний сценарій</w:t>
            </w:r>
          </w:p>
        </w:tc>
        <w:tc>
          <w:tcPr>
            <w:tcW w:w="948" w:type="dxa"/>
            <w:shd w:val="clear" w:color="000000" w:fill="FFFFFF"/>
            <w:noWrap/>
            <w:vAlign w:val="bottom"/>
            <w:hideMark/>
          </w:tcPr>
          <w:p w:rsidR="0017703B" w:rsidRPr="00A253F5" w:rsidRDefault="0017703B" w:rsidP="00A253F5">
            <w:pPr>
              <w:spacing w:after="0" w:line="240" w:lineRule="auto"/>
              <w:jc w:val="right"/>
              <w:rPr>
                <w:rFonts w:ascii="Times New Roman" w:hAnsi="Times New Roman" w:cs="Times New Roman"/>
                <w:color w:val="000000"/>
                <w:sz w:val="20"/>
                <w:szCs w:val="20"/>
              </w:rPr>
            </w:pPr>
            <w:r w:rsidRPr="00A253F5">
              <w:rPr>
                <w:rFonts w:ascii="Times New Roman" w:hAnsi="Times New Roman" w:cs="Times New Roman"/>
                <w:color w:val="000000"/>
                <w:sz w:val="20"/>
                <w:szCs w:val="20"/>
              </w:rPr>
              <w:t>1,18</w:t>
            </w:r>
          </w:p>
        </w:tc>
        <w:tc>
          <w:tcPr>
            <w:tcW w:w="947" w:type="dxa"/>
            <w:shd w:val="clear" w:color="000000" w:fill="FFFFFF"/>
            <w:noWrap/>
            <w:vAlign w:val="bottom"/>
            <w:hideMark/>
          </w:tcPr>
          <w:p w:rsidR="0017703B" w:rsidRPr="00A253F5" w:rsidRDefault="0017703B" w:rsidP="00A253F5">
            <w:pPr>
              <w:spacing w:after="0" w:line="240" w:lineRule="auto"/>
              <w:jc w:val="right"/>
              <w:rPr>
                <w:rFonts w:ascii="Times New Roman" w:hAnsi="Times New Roman" w:cs="Times New Roman"/>
                <w:color w:val="000000"/>
                <w:sz w:val="20"/>
                <w:szCs w:val="20"/>
              </w:rPr>
            </w:pPr>
            <w:r w:rsidRPr="00A253F5">
              <w:rPr>
                <w:rFonts w:ascii="Times New Roman" w:hAnsi="Times New Roman" w:cs="Times New Roman"/>
                <w:color w:val="000000"/>
                <w:sz w:val="20"/>
                <w:szCs w:val="20"/>
              </w:rPr>
              <w:t>1,03</w:t>
            </w:r>
          </w:p>
        </w:tc>
        <w:tc>
          <w:tcPr>
            <w:tcW w:w="947" w:type="dxa"/>
            <w:shd w:val="clear" w:color="000000" w:fill="FFFFFF"/>
            <w:noWrap/>
            <w:vAlign w:val="bottom"/>
            <w:hideMark/>
          </w:tcPr>
          <w:p w:rsidR="0017703B" w:rsidRPr="00A253F5" w:rsidRDefault="0017703B" w:rsidP="00A253F5">
            <w:pPr>
              <w:spacing w:after="0" w:line="240" w:lineRule="auto"/>
              <w:jc w:val="right"/>
              <w:rPr>
                <w:rFonts w:ascii="Times New Roman" w:hAnsi="Times New Roman" w:cs="Times New Roman"/>
                <w:color w:val="000000"/>
                <w:sz w:val="20"/>
                <w:szCs w:val="20"/>
              </w:rPr>
            </w:pPr>
            <w:r w:rsidRPr="00A253F5">
              <w:rPr>
                <w:rFonts w:ascii="Times New Roman" w:hAnsi="Times New Roman" w:cs="Times New Roman"/>
                <w:color w:val="000000"/>
                <w:sz w:val="20"/>
                <w:szCs w:val="20"/>
              </w:rPr>
              <w:t>1,04</w:t>
            </w:r>
          </w:p>
        </w:tc>
        <w:tc>
          <w:tcPr>
            <w:tcW w:w="947" w:type="dxa"/>
            <w:shd w:val="clear" w:color="000000" w:fill="FFFFFF"/>
            <w:noWrap/>
            <w:vAlign w:val="bottom"/>
            <w:hideMark/>
          </w:tcPr>
          <w:p w:rsidR="0017703B" w:rsidRPr="00A253F5" w:rsidRDefault="0017703B" w:rsidP="00A253F5">
            <w:pPr>
              <w:spacing w:after="0" w:line="240" w:lineRule="auto"/>
              <w:jc w:val="right"/>
              <w:rPr>
                <w:rFonts w:ascii="Times New Roman" w:hAnsi="Times New Roman" w:cs="Times New Roman"/>
                <w:color w:val="000000"/>
                <w:sz w:val="20"/>
                <w:szCs w:val="20"/>
              </w:rPr>
            </w:pPr>
            <w:r w:rsidRPr="00A253F5">
              <w:rPr>
                <w:rFonts w:ascii="Times New Roman" w:hAnsi="Times New Roman" w:cs="Times New Roman"/>
                <w:color w:val="000000"/>
                <w:sz w:val="20"/>
                <w:szCs w:val="20"/>
              </w:rPr>
              <w:t>1,43</w:t>
            </w:r>
          </w:p>
        </w:tc>
        <w:tc>
          <w:tcPr>
            <w:tcW w:w="947" w:type="dxa"/>
            <w:shd w:val="clear" w:color="000000" w:fill="FFFFFF"/>
            <w:noWrap/>
            <w:vAlign w:val="bottom"/>
            <w:hideMark/>
          </w:tcPr>
          <w:p w:rsidR="0017703B" w:rsidRPr="00A253F5" w:rsidRDefault="0017703B" w:rsidP="00A253F5">
            <w:pPr>
              <w:spacing w:after="0" w:line="240" w:lineRule="auto"/>
              <w:jc w:val="right"/>
              <w:rPr>
                <w:rFonts w:ascii="Times New Roman" w:hAnsi="Times New Roman" w:cs="Times New Roman"/>
                <w:color w:val="000000"/>
                <w:sz w:val="20"/>
                <w:szCs w:val="20"/>
              </w:rPr>
            </w:pPr>
            <w:r w:rsidRPr="00A253F5">
              <w:rPr>
                <w:rFonts w:ascii="Times New Roman" w:hAnsi="Times New Roman" w:cs="Times New Roman"/>
                <w:color w:val="000000"/>
                <w:sz w:val="20"/>
                <w:szCs w:val="20"/>
              </w:rPr>
              <w:t>1,29</w:t>
            </w:r>
          </w:p>
        </w:tc>
        <w:tc>
          <w:tcPr>
            <w:tcW w:w="947" w:type="dxa"/>
            <w:shd w:val="clear" w:color="000000" w:fill="FFFFFF"/>
            <w:noWrap/>
            <w:vAlign w:val="bottom"/>
            <w:hideMark/>
          </w:tcPr>
          <w:p w:rsidR="0017703B" w:rsidRPr="00A253F5" w:rsidRDefault="0017703B" w:rsidP="00A253F5">
            <w:pPr>
              <w:spacing w:after="0" w:line="240" w:lineRule="auto"/>
              <w:jc w:val="right"/>
              <w:rPr>
                <w:rFonts w:ascii="Times New Roman" w:hAnsi="Times New Roman" w:cs="Times New Roman"/>
                <w:color w:val="000000"/>
                <w:sz w:val="20"/>
                <w:szCs w:val="20"/>
              </w:rPr>
            </w:pPr>
            <w:r w:rsidRPr="00A253F5">
              <w:rPr>
                <w:rFonts w:ascii="Times New Roman" w:hAnsi="Times New Roman" w:cs="Times New Roman"/>
                <w:color w:val="000000"/>
                <w:sz w:val="20"/>
                <w:szCs w:val="20"/>
              </w:rPr>
              <w:t>1,18</w:t>
            </w:r>
          </w:p>
        </w:tc>
        <w:tc>
          <w:tcPr>
            <w:tcW w:w="947" w:type="dxa"/>
            <w:shd w:val="clear" w:color="000000" w:fill="FFFFFF"/>
            <w:noWrap/>
            <w:vAlign w:val="bottom"/>
            <w:hideMark/>
          </w:tcPr>
          <w:p w:rsidR="0017703B" w:rsidRPr="00A253F5" w:rsidRDefault="0017703B" w:rsidP="00A253F5">
            <w:pPr>
              <w:spacing w:after="0" w:line="240" w:lineRule="auto"/>
              <w:jc w:val="right"/>
              <w:rPr>
                <w:rFonts w:ascii="Times New Roman" w:hAnsi="Times New Roman" w:cs="Times New Roman"/>
                <w:color w:val="000000"/>
                <w:sz w:val="20"/>
                <w:szCs w:val="20"/>
              </w:rPr>
            </w:pPr>
            <w:r w:rsidRPr="00A253F5">
              <w:rPr>
                <w:rFonts w:ascii="Times New Roman" w:hAnsi="Times New Roman" w:cs="Times New Roman"/>
                <w:color w:val="000000"/>
                <w:sz w:val="20"/>
                <w:szCs w:val="20"/>
              </w:rPr>
              <w:t>1,09</w:t>
            </w:r>
          </w:p>
        </w:tc>
      </w:tr>
    </w:tbl>
    <w:p w:rsidR="0017703B" w:rsidRPr="00B94C6E" w:rsidRDefault="0017703B" w:rsidP="0017703B">
      <w:pPr>
        <w:spacing w:after="120"/>
      </w:pPr>
      <w:r>
        <w:rPr>
          <w:noProof/>
          <w:lang w:eastAsia="uk-UA"/>
        </w:rPr>
        <w:drawing>
          <wp:inline distT="0" distB="0" distL="0" distR="0" wp14:anchorId="1F8FE19F" wp14:editId="6DCF56D1">
            <wp:extent cx="4412615" cy="1207135"/>
            <wp:effectExtent l="0" t="0" r="6985" b="0"/>
            <wp:docPr id="23" name="Діаграма 23">
              <a:extLst xmlns:a="http://schemas.openxmlformats.org/drawingml/2006/main">
                <a:ext uri="{FF2B5EF4-FFF2-40B4-BE49-F238E27FC236}">
                  <a16:creationId xmlns:a16="http://schemas.microsoft.com/office/drawing/2014/main" id="{00000000-0008-0000-0B00-00000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17703B" w:rsidRPr="0017703B" w:rsidRDefault="0017703B" w:rsidP="0017703B">
      <w:pPr>
        <w:pStyle w:val="af1"/>
        <w:ind w:firstLine="567"/>
        <w:jc w:val="both"/>
        <w:rPr>
          <w:rFonts w:ascii="Times New Roman" w:hAnsi="Times New Roman" w:cs="Times New Roman"/>
          <w:sz w:val="24"/>
          <w:szCs w:val="24"/>
          <w:lang w:val="uk-UA"/>
        </w:rPr>
      </w:pPr>
      <w:r w:rsidRPr="0017703B">
        <w:rPr>
          <w:rFonts w:ascii="Times New Roman" w:hAnsi="Times New Roman" w:cs="Times New Roman"/>
          <w:sz w:val="24"/>
          <w:szCs w:val="24"/>
          <w:lang w:val="uk-UA"/>
        </w:rPr>
        <w:t xml:space="preserve">Зростання дебіторської заборгованості </w:t>
      </w:r>
      <w:r w:rsidRPr="00372523">
        <w:rPr>
          <w:rFonts w:ascii="Times New Roman" w:hAnsi="Times New Roman" w:cs="Times New Roman"/>
          <w:color w:val="000000"/>
          <w:sz w:val="24"/>
          <w:szCs w:val="24"/>
          <w:lang w:val="uk-UA" w:eastAsia="ru-RU"/>
        </w:rPr>
        <w:t>ДП «</w:t>
      </w:r>
      <w:r w:rsidRPr="00372523">
        <w:rPr>
          <w:rFonts w:ascii="Times New Roman" w:hAnsi="Times New Roman" w:cs="Times New Roman"/>
          <w:sz w:val="24"/>
          <w:szCs w:val="24"/>
          <w:lang w:val="uk-UA" w:eastAsia="ru-RU"/>
        </w:rPr>
        <w:t xml:space="preserve">НАЕК «Енергоатом» </w:t>
      </w:r>
      <w:r w:rsidRPr="0017703B">
        <w:rPr>
          <w:rFonts w:ascii="Times New Roman" w:hAnsi="Times New Roman" w:cs="Times New Roman"/>
          <w:sz w:val="24"/>
          <w:szCs w:val="24"/>
          <w:lang w:val="uk-UA"/>
        </w:rPr>
        <w:t xml:space="preserve">внаслідок </w:t>
      </w:r>
      <w:r w:rsidR="00A253F5">
        <w:rPr>
          <w:rFonts w:ascii="Times New Roman" w:hAnsi="Times New Roman" w:cs="Times New Roman"/>
          <w:sz w:val="24"/>
          <w:szCs w:val="24"/>
          <w:lang w:val="uk-UA"/>
        </w:rPr>
        <w:t xml:space="preserve">низького </w:t>
      </w:r>
      <w:r w:rsidRPr="0017703B">
        <w:rPr>
          <w:rFonts w:ascii="Times New Roman" w:hAnsi="Times New Roman" w:cs="Times New Roman"/>
          <w:sz w:val="24"/>
          <w:szCs w:val="24"/>
          <w:lang w:val="uk-UA"/>
        </w:rPr>
        <w:t>рівня розрахунків учасників ринку електричної енергії призводить до необхідності залучення Підприємством запозичень для покриття дефіциту обігових коштів.</w:t>
      </w:r>
    </w:p>
    <w:p w:rsidR="0017703B" w:rsidRPr="0017703B" w:rsidRDefault="0017703B" w:rsidP="0017703B">
      <w:pPr>
        <w:pStyle w:val="af1"/>
        <w:ind w:firstLine="567"/>
        <w:jc w:val="both"/>
        <w:rPr>
          <w:rFonts w:ascii="Times New Roman" w:hAnsi="Times New Roman" w:cs="Times New Roman"/>
          <w:color w:val="000000" w:themeColor="text1"/>
          <w:sz w:val="24"/>
          <w:szCs w:val="24"/>
          <w:lang w:val="uk-UA"/>
        </w:rPr>
      </w:pPr>
      <w:r w:rsidRPr="0017703B">
        <w:rPr>
          <w:rFonts w:ascii="Times New Roman" w:hAnsi="Times New Roman" w:cs="Times New Roman"/>
          <w:color w:val="000000" w:themeColor="text1"/>
          <w:sz w:val="24"/>
          <w:szCs w:val="24"/>
          <w:lang w:val="uk-UA"/>
        </w:rPr>
        <w:t xml:space="preserve">З урахуванням здійснення </w:t>
      </w:r>
      <w:r w:rsidRPr="00372523">
        <w:rPr>
          <w:rFonts w:ascii="Times New Roman" w:hAnsi="Times New Roman" w:cs="Times New Roman"/>
          <w:color w:val="000000"/>
          <w:sz w:val="24"/>
          <w:szCs w:val="24"/>
          <w:lang w:val="uk-UA" w:eastAsia="ru-RU"/>
        </w:rPr>
        <w:t>ДП «</w:t>
      </w:r>
      <w:r w:rsidRPr="00372523">
        <w:rPr>
          <w:rFonts w:ascii="Times New Roman" w:hAnsi="Times New Roman" w:cs="Times New Roman"/>
          <w:sz w:val="24"/>
          <w:szCs w:val="24"/>
          <w:lang w:val="uk-UA" w:eastAsia="ru-RU"/>
        </w:rPr>
        <w:t>НАЕК «Енергоатом»</w:t>
      </w:r>
      <w:r w:rsidRPr="0017703B">
        <w:rPr>
          <w:rFonts w:ascii="Times New Roman" w:hAnsi="Times New Roman" w:cs="Times New Roman"/>
          <w:color w:val="000000" w:themeColor="text1"/>
          <w:sz w:val="24"/>
          <w:szCs w:val="24"/>
          <w:lang w:val="uk-UA"/>
        </w:rPr>
        <w:t xml:space="preserve"> </w:t>
      </w:r>
      <w:r w:rsidRPr="0017703B">
        <w:rPr>
          <w:rFonts w:ascii="Times New Roman" w:hAnsi="Times New Roman" w:cs="Times New Roman"/>
          <w:sz w:val="24"/>
          <w:szCs w:val="24"/>
          <w:lang w:val="uk-UA"/>
        </w:rPr>
        <w:t>запозичень,</w:t>
      </w:r>
      <w:r w:rsidRPr="0017703B">
        <w:rPr>
          <w:rFonts w:ascii="Times New Roman" w:hAnsi="Times New Roman" w:cs="Times New Roman"/>
          <w:color w:val="000000" w:themeColor="text1"/>
          <w:sz w:val="24"/>
          <w:szCs w:val="24"/>
          <w:lang w:val="uk-UA"/>
        </w:rPr>
        <w:t xml:space="preserve"> значення показника поточної ліквідності у 2021 – 2024 роках за обома сценаріями очікується </w:t>
      </w:r>
      <w:r w:rsidRPr="0017703B">
        <w:rPr>
          <w:rFonts w:ascii="Times New Roman" w:hAnsi="Times New Roman" w:cs="Times New Roman"/>
          <w:color w:val="000000"/>
          <w:sz w:val="24"/>
          <w:szCs w:val="24"/>
          <w:lang w:val="uk-UA" w:eastAsia="ru-RU"/>
        </w:rPr>
        <w:t xml:space="preserve">на рівні, який </w:t>
      </w:r>
      <w:r w:rsidRPr="0017703B">
        <w:rPr>
          <w:rFonts w:ascii="Times New Roman" w:hAnsi="Times New Roman" w:cs="Times New Roman"/>
          <w:color w:val="000000" w:themeColor="text1"/>
          <w:sz w:val="24"/>
          <w:szCs w:val="24"/>
          <w:lang w:val="uk-UA"/>
        </w:rPr>
        <w:t>свідчить про достатність обігових коштів Підприємства для виконання поточних зобов’язань.</w:t>
      </w:r>
    </w:p>
    <w:p w:rsidR="0017703B" w:rsidRPr="0017703B" w:rsidRDefault="0017703B" w:rsidP="0017703B">
      <w:pPr>
        <w:pStyle w:val="af1"/>
        <w:ind w:firstLine="567"/>
        <w:jc w:val="both"/>
        <w:rPr>
          <w:rFonts w:ascii="Times New Roman" w:hAnsi="Times New Roman" w:cs="Times New Roman"/>
          <w:color w:val="000000" w:themeColor="text1"/>
          <w:sz w:val="24"/>
          <w:szCs w:val="24"/>
          <w:lang w:val="uk-UA"/>
        </w:rPr>
      </w:pPr>
      <w:r w:rsidRPr="0017703B">
        <w:rPr>
          <w:rFonts w:ascii="Times New Roman" w:hAnsi="Times New Roman" w:cs="Times New Roman"/>
          <w:color w:val="000000" w:themeColor="text1"/>
          <w:sz w:val="24"/>
          <w:szCs w:val="24"/>
          <w:lang w:val="uk-UA"/>
        </w:rPr>
        <w:t xml:space="preserve">Таким чином, </w:t>
      </w:r>
      <w:r w:rsidRPr="0017703B">
        <w:rPr>
          <w:rFonts w:ascii="Times New Roman" w:hAnsi="Times New Roman" w:cs="Times New Roman"/>
          <w:noProof/>
          <w:color w:val="000000" w:themeColor="text1"/>
          <w:sz w:val="24"/>
          <w:szCs w:val="24"/>
          <w:lang w:val="uk-UA"/>
        </w:rPr>
        <w:t xml:space="preserve">за збереження діючих умов функціонування </w:t>
      </w:r>
      <w:r w:rsidRPr="0017703B">
        <w:rPr>
          <w:rFonts w:ascii="Times New Roman" w:hAnsi="Times New Roman" w:cs="Times New Roman"/>
          <w:color w:val="000000"/>
          <w:sz w:val="24"/>
          <w:szCs w:val="24"/>
          <w:lang w:val="uk-UA" w:eastAsia="ru-RU"/>
        </w:rPr>
        <w:t>ДП «</w:t>
      </w:r>
      <w:r w:rsidRPr="0017703B">
        <w:rPr>
          <w:rFonts w:ascii="Times New Roman" w:hAnsi="Times New Roman" w:cs="Times New Roman"/>
          <w:sz w:val="24"/>
          <w:szCs w:val="24"/>
          <w:lang w:val="uk-UA" w:eastAsia="ru-RU"/>
        </w:rPr>
        <w:t>НАЕК «Енергоатом»</w:t>
      </w:r>
      <w:r w:rsidRPr="0017703B">
        <w:rPr>
          <w:rFonts w:ascii="Times New Roman" w:hAnsi="Times New Roman" w:cs="Times New Roman"/>
          <w:color w:val="000000" w:themeColor="text1"/>
          <w:sz w:val="24"/>
          <w:szCs w:val="24"/>
          <w:lang w:val="uk-UA"/>
        </w:rPr>
        <w:t xml:space="preserve"> </w:t>
      </w:r>
      <w:r w:rsidRPr="0017703B">
        <w:rPr>
          <w:rFonts w:ascii="Times New Roman" w:hAnsi="Times New Roman" w:cs="Times New Roman"/>
          <w:noProof/>
          <w:color w:val="000000" w:themeColor="text1"/>
          <w:sz w:val="24"/>
          <w:szCs w:val="24"/>
          <w:lang w:val="uk-UA"/>
        </w:rPr>
        <w:t>на ринку електроенергії</w:t>
      </w:r>
      <w:r w:rsidRPr="0017703B">
        <w:rPr>
          <w:rFonts w:ascii="Times New Roman" w:hAnsi="Times New Roman" w:cs="Times New Roman"/>
          <w:color w:val="000000" w:themeColor="text1"/>
          <w:sz w:val="24"/>
          <w:szCs w:val="24"/>
          <w:lang w:val="uk-UA"/>
        </w:rPr>
        <w:t xml:space="preserve"> (покладення спеціальних обов’язків) та реалізації песимістичного сценарію у 2021 – 2022 роках очікується збиткова </w:t>
      </w:r>
      <w:r w:rsidRPr="0017703B">
        <w:rPr>
          <w:rFonts w:ascii="Times New Roman" w:hAnsi="Times New Roman" w:cs="Times New Roman"/>
          <w:noProof/>
          <w:color w:val="000000" w:themeColor="text1"/>
          <w:sz w:val="24"/>
          <w:szCs w:val="24"/>
          <w:lang w:val="uk-UA"/>
        </w:rPr>
        <w:t>діяльність</w:t>
      </w:r>
      <w:r w:rsidRPr="0017703B">
        <w:rPr>
          <w:rFonts w:ascii="Times New Roman" w:hAnsi="Times New Roman" w:cs="Times New Roman"/>
          <w:color w:val="000000" w:themeColor="text1"/>
          <w:sz w:val="24"/>
          <w:szCs w:val="24"/>
          <w:lang w:val="uk-UA"/>
        </w:rPr>
        <w:t xml:space="preserve"> Підприємства, що негативно відобразиться на фінансовому стані </w:t>
      </w:r>
      <w:r w:rsidRPr="0017703B">
        <w:rPr>
          <w:rFonts w:ascii="Times New Roman" w:hAnsi="Times New Roman" w:cs="Times New Roman"/>
          <w:color w:val="000000"/>
          <w:sz w:val="24"/>
          <w:szCs w:val="24"/>
          <w:lang w:val="uk-UA" w:eastAsia="ru-RU"/>
        </w:rPr>
        <w:t>ДП «</w:t>
      </w:r>
      <w:r w:rsidRPr="0017703B">
        <w:rPr>
          <w:rFonts w:ascii="Times New Roman" w:hAnsi="Times New Roman" w:cs="Times New Roman"/>
          <w:sz w:val="24"/>
          <w:szCs w:val="24"/>
          <w:lang w:val="uk-UA" w:eastAsia="ru-RU"/>
        </w:rPr>
        <w:t>НАЕК «Енергоатом»</w:t>
      </w:r>
      <w:r w:rsidRPr="0017703B">
        <w:rPr>
          <w:rFonts w:ascii="Times New Roman" w:hAnsi="Times New Roman" w:cs="Times New Roman"/>
          <w:color w:val="000000" w:themeColor="text1"/>
          <w:sz w:val="24"/>
          <w:szCs w:val="24"/>
          <w:lang w:val="uk-UA"/>
        </w:rPr>
        <w:t xml:space="preserve"> та обсягах сплати до державного бюджету відповідних податків та платежів.</w:t>
      </w:r>
    </w:p>
    <w:p w:rsidR="0017703B" w:rsidRPr="0017703B" w:rsidRDefault="0017703B" w:rsidP="0017703B">
      <w:pPr>
        <w:pStyle w:val="af1"/>
        <w:ind w:firstLine="567"/>
        <w:jc w:val="both"/>
        <w:rPr>
          <w:rFonts w:ascii="Times New Roman" w:hAnsi="Times New Roman" w:cs="Times New Roman"/>
          <w:sz w:val="24"/>
          <w:szCs w:val="24"/>
          <w:lang w:val="uk-UA"/>
        </w:rPr>
      </w:pPr>
      <w:r w:rsidRPr="0017703B">
        <w:rPr>
          <w:rFonts w:ascii="Times New Roman" w:hAnsi="Times New Roman" w:cs="Times New Roman"/>
          <w:sz w:val="24"/>
          <w:szCs w:val="24"/>
          <w:lang w:val="uk-UA"/>
        </w:rPr>
        <w:t>Зазначена вище інформація про очікувані показники діяльності ДП «НАЕК «Енергоатом» у 2021 – 2024 роках є розрахунковою, не враховує усіх можливих доходів та витрат Підприємства, відображає можливий тренд фінансових прогнозів за умов реалізації різних сценаріїв та може відхилятись від фактичної ситуації внаслідок впливу не врахованих у сценаріях подій та не може розглядатись як гарантія настання таких подій у майбутньому.</w:t>
      </w:r>
    </w:p>
    <w:p w:rsidR="0017703B" w:rsidRPr="0017703B" w:rsidRDefault="0017703B" w:rsidP="00485C32">
      <w:pPr>
        <w:pStyle w:val="af1"/>
        <w:spacing w:before="120" w:after="120"/>
        <w:ind w:firstLine="567"/>
        <w:jc w:val="both"/>
        <w:rPr>
          <w:rFonts w:ascii="Times New Roman" w:hAnsi="Times New Roman" w:cs="Times New Roman"/>
          <w:sz w:val="24"/>
          <w:szCs w:val="24"/>
          <w:lang w:val="uk-UA"/>
        </w:rPr>
      </w:pPr>
      <w:r w:rsidRPr="0017703B">
        <w:rPr>
          <w:rFonts w:ascii="Times New Roman" w:hAnsi="Times New Roman" w:cs="Times New Roman"/>
          <w:sz w:val="24"/>
          <w:szCs w:val="24"/>
          <w:lang w:val="uk-UA"/>
        </w:rPr>
        <w:t>Щодо інших суб’єктів господарювання, що включені до Переліку, Мінфіном продовжується робота з оцінки можливих результатів їх діяльності в 2021 – 2024 роках.</w:t>
      </w:r>
    </w:p>
    <w:p w:rsidR="0017703B" w:rsidRPr="0017703B" w:rsidRDefault="0017703B" w:rsidP="0017703B">
      <w:pPr>
        <w:pStyle w:val="af1"/>
        <w:ind w:firstLine="567"/>
        <w:jc w:val="both"/>
        <w:rPr>
          <w:rFonts w:ascii="Times New Roman" w:hAnsi="Times New Roman" w:cs="Times New Roman"/>
          <w:sz w:val="24"/>
          <w:szCs w:val="24"/>
          <w:lang w:val="uk-UA"/>
        </w:rPr>
      </w:pPr>
      <w:r w:rsidRPr="0017703B">
        <w:rPr>
          <w:rFonts w:ascii="Times New Roman" w:hAnsi="Times New Roman" w:cs="Times New Roman"/>
          <w:sz w:val="24"/>
          <w:szCs w:val="24"/>
          <w:lang w:val="uk-UA"/>
        </w:rPr>
        <w:t>Ураховуючи вищевказане, існують високі ризики негативного впливу на показники державного бюджету фіскальних ризиків, пов’язаних із діяльністю державних компаній, які може бути зменшено шляхом:</w:t>
      </w:r>
    </w:p>
    <w:p w:rsidR="0017703B" w:rsidRPr="0017703B" w:rsidRDefault="0017703B" w:rsidP="0017703B">
      <w:pPr>
        <w:pStyle w:val="af1"/>
        <w:ind w:firstLine="567"/>
        <w:jc w:val="both"/>
        <w:rPr>
          <w:rFonts w:ascii="Times New Roman" w:hAnsi="Times New Roman" w:cs="Times New Roman"/>
          <w:sz w:val="24"/>
          <w:szCs w:val="24"/>
          <w:lang w:val="uk-UA"/>
        </w:rPr>
      </w:pPr>
      <w:r w:rsidRPr="0017703B">
        <w:rPr>
          <w:rFonts w:ascii="Times New Roman" w:hAnsi="Times New Roman" w:cs="Times New Roman"/>
          <w:sz w:val="24"/>
          <w:szCs w:val="24"/>
          <w:lang w:val="uk-UA"/>
        </w:rPr>
        <w:t>- розробки та впровадження суб’єктами управління спільно із державними компаніями та Мінфіном заходів, спрямованих на мінімізацію ризиків у діяльності особливо важливих для економіки підприємств;</w:t>
      </w:r>
    </w:p>
    <w:p w:rsidR="0017703B" w:rsidRPr="0017703B" w:rsidRDefault="0017703B" w:rsidP="0017703B">
      <w:pPr>
        <w:pStyle w:val="af1"/>
        <w:ind w:firstLine="567"/>
        <w:jc w:val="both"/>
        <w:rPr>
          <w:rFonts w:ascii="Times New Roman" w:hAnsi="Times New Roman" w:cs="Times New Roman"/>
          <w:sz w:val="24"/>
          <w:szCs w:val="24"/>
          <w:lang w:val="uk-UA"/>
        </w:rPr>
      </w:pPr>
      <w:r w:rsidRPr="0017703B">
        <w:rPr>
          <w:rFonts w:ascii="Times New Roman" w:hAnsi="Times New Roman" w:cs="Times New Roman"/>
          <w:sz w:val="24"/>
          <w:szCs w:val="24"/>
          <w:lang w:val="uk-UA"/>
        </w:rPr>
        <w:t>- оптимізації підприємствами витрат, скороченні витрат не пов’язаних з основною діяльністю, актуалізації капітальних інвестицій з урахуванням стратегій розвитку та їх окупності;</w:t>
      </w:r>
    </w:p>
    <w:p w:rsidR="0017703B" w:rsidRPr="0017703B" w:rsidRDefault="0017703B" w:rsidP="0017703B">
      <w:pPr>
        <w:pStyle w:val="af1"/>
        <w:ind w:firstLine="567"/>
        <w:jc w:val="both"/>
        <w:rPr>
          <w:rFonts w:ascii="Times New Roman" w:hAnsi="Times New Roman" w:cs="Times New Roman"/>
          <w:sz w:val="24"/>
          <w:szCs w:val="24"/>
          <w:lang w:val="uk-UA"/>
        </w:rPr>
      </w:pPr>
      <w:r w:rsidRPr="0017703B">
        <w:rPr>
          <w:rFonts w:ascii="Times New Roman" w:hAnsi="Times New Roman" w:cs="Times New Roman"/>
          <w:sz w:val="24"/>
          <w:szCs w:val="24"/>
          <w:lang w:val="uk-UA"/>
        </w:rPr>
        <w:t>- підвищення ефективності корпоративного управління, зокрема створення незалежних наглядових рад;</w:t>
      </w:r>
    </w:p>
    <w:p w:rsidR="0017703B" w:rsidRPr="0017703B" w:rsidRDefault="0017703B" w:rsidP="0017703B">
      <w:pPr>
        <w:pStyle w:val="af1"/>
        <w:ind w:firstLine="567"/>
        <w:jc w:val="both"/>
        <w:rPr>
          <w:rFonts w:ascii="Times New Roman" w:hAnsi="Times New Roman" w:cs="Times New Roman"/>
          <w:sz w:val="24"/>
          <w:szCs w:val="24"/>
          <w:lang w:val="uk-UA"/>
        </w:rPr>
      </w:pPr>
      <w:r w:rsidRPr="0017703B">
        <w:rPr>
          <w:rFonts w:ascii="Times New Roman" w:hAnsi="Times New Roman" w:cs="Times New Roman"/>
          <w:sz w:val="24"/>
          <w:szCs w:val="24"/>
          <w:lang w:val="uk-UA"/>
        </w:rPr>
        <w:t>- стратегічного планування та забезпечення результативного функціонування кожного підприємства;</w:t>
      </w:r>
    </w:p>
    <w:p w:rsidR="0017703B" w:rsidRPr="0017703B" w:rsidRDefault="0017703B" w:rsidP="0017703B">
      <w:pPr>
        <w:pStyle w:val="af1"/>
        <w:ind w:firstLine="567"/>
        <w:jc w:val="both"/>
        <w:rPr>
          <w:rFonts w:ascii="Times New Roman" w:hAnsi="Times New Roman" w:cs="Times New Roman"/>
          <w:sz w:val="24"/>
          <w:szCs w:val="24"/>
          <w:lang w:val="uk-UA"/>
        </w:rPr>
      </w:pPr>
      <w:r w:rsidRPr="0017703B">
        <w:rPr>
          <w:rFonts w:ascii="Times New Roman" w:hAnsi="Times New Roman" w:cs="Times New Roman"/>
          <w:sz w:val="24"/>
          <w:szCs w:val="24"/>
          <w:lang w:val="uk-UA"/>
        </w:rPr>
        <w:t>- прозорого процесу приватизації підприємств, які повинні бути приватизовані, та продаж на прозорих умовах непрофільних/не задіяних в основній діяльності активів підприємств, що залишаються в державній власності;</w:t>
      </w:r>
    </w:p>
    <w:p w:rsidR="0017703B" w:rsidRPr="0017703B" w:rsidRDefault="0017703B" w:rsidP="0017703B">
      <w:pPr>
        <w:pStyle w:val="af1"/>
        <w:ind w:firstLine="567"/>
        <w:jc w:val="both"/>
        <w:rPr>
          <w:rFonts w:ascii="Times New Roman" w:hAnsi="Times New Roman" w:cs="Times New Roman"/>
          <w:sz w:val="24"/>
          <w:szCs w:val="24"/>
          <w:lang w:val="uk-UA"/>
        </w:rPr>
      </w:pPr>
      <w:r w:rsidRPr="0017703B">
        <w:rPr>
          <w:rFonts w:ascii="Times New Roman" w:hAnsi="Times New Roman" w:cs="Times New Roman"/>
          <w:sz w:val="24"/>
          <w:szCs w:val="24"/>
          <w:lang w:val="uk-UA"/>
        </w:rPr>
        <w:t>- реструктуризації та ліквідації непрацюючих підприємств та тих, що неефективно використовують державне майно;</w:t>
      </w:r>
    </w:p>
    <w:p w:rsidR="00D95121" w:rsidRDefault="0017703B" w:rsidP="0017703B">
      <w:pPr>
        <w:pStyle w:val="af1"/>
        <w:ind w:firstLine="567"/>
        <w:jc w:val="both"/>
        <w:rPr>
          <w:color w:val="000000"/>
          <w:lang w:val="uk-UA" w:eastAsia="ru-RU"/>
        </w:rPr>
      </w:pPr>
      <w:r w:rsidRPr="0017703B">
        <w:rPr>
          <w:rFonts w:ascii="Times New Roman" w:hAnsi="Times New Roman" w:cs="Times New Roman"/>
          <w:sz w:val="24"/>
          <w:szCs w:val="24"/>
          <w:lang w:val="uk-UA"/>
        </w:rPr>
        <w:t>- забезпечення прозорості та звітності підприємств (вільний доступ до достовірної та актуальної інформації про кожне підприємство)</w:t>
      </w:r>
      <w:r w:rsidRPr="00372523">
        <w:rPr>
          <w:color w:val="000000"/>
          <w:lang w:val="uk-UA" w:eastAsia="ru-RU"/>
        </w:rPr>
        <w:t>.</w:t>
      </w:r>
    </w:p>
    <w:p w:rsidR="00AE7935" w:rsidRPr="00BD3020" w:rsidRDefault="00970C0D" w:rsidP="00D53617">
      <w:pPr>
        <w:pStyle w:val="1"/>
        <w:spacing w:after="120"/>
        <w:jc w:val="center"/>
        <w:rPr>
          <w:b/>
          <w:sz w:val="28"/>
        </w:rPr>
      </w:pPr>
      <w:bookmarkStart w:id="6" w:name="_Toc82168987"/>
      <w:r w:rsidRPr="00BD3020">
        <w:rPr>
          <w:b/>
          <w:sz w:val="28"/>
        </w:rPr>
        <w:t>ФІСКАЛЬНІ РИЗИКИ, ПОВ’ЯЗАНІ ІЗ НЕВИКОНАННЯМ ПЛАНУ НАДХОДЖЕНЬ ВІД ПРИВАТИЗАЦІЇ ДЕРЖАВНОГО МАЙНА</w:t>
      </w:r>
      <w:bookmarkEnd w:id="6"/>
    </w:p>
    <w:p w:rsidR="00014A56" w:rsidRPr="00014A56" w:rsidRDefault="00014A56" w:rsidP="00014A56">
      <w:pPr>
        <w:spacing w:after="0" w:line="240" w:lineRule="auto"/>
        <w:ind w:firstLine="567"/>
        <w:jc w:val="both"/>
        <w:rPr>
          <w:rFonts w:ascii="Times New Roman" w:hAnsi="Times New Roman" w:cs="Times New Roman"/>
          <w:sz w:val="24"/>
          <w:szCs w:val="24"/>
        </w:rPr>
      </w:pPr>
      <w:r w:rsidRPr="00014A56">
        <w:rPr>
          <w:rFonts w:ascii="Times New Roman" w:eastAsia="Times New Roman" w:hAnsi="Times New Roman" w:cs="Times New Roman"/>
          <w:sz w:val="24"/>
          <w:szCs w:val="24"/>
          <w:lang w:eastAsia="uk-UA"/>
        </w:rPr>
        <w:t xml:space="preserve">Законом України «Про Державний бюджет України на 2020 рік» початково було визначено надходження від приватизації державного майна на рівні 12,0 млрд гривень. Проте в результаті зростання рівня невизначеності, </w:t>
      </w:r>
      <w:r w:rsidRPr="00014A56">
        <w:rPr>
          <w:rFonts w:ascii="Times New Roman" w:hAnsi="Times New Roman" w:cs="Times New Roman"/>
          <w:sz w:val="24"/>
          <w:szCs w:val="24"/>
        </w:rPr>
        <w:t xml:space="preserve">обмеження ділової активності та погіршення очікувань інвесторів, у змінах до закону про державний бюджет було скориговано і показник надходжень від приватизації. Так, змінами до закону про державний бюджет надходження від приватизації було встановлено у сумі </w:t>
      </w:r>
      <w:r w:rsidRPr="00014A56">
        <w:rPr>
          <w:rFonts w:ascii="Times New Roman" w:hAnsi="Times New Roman" w:cs="Times New Roman"/>
          <w:bCs/>
          <w:sz w:val="24"/>
          <w:szCs w:val="24"/>
        </w:rPr>
        <w:t xml:space="preserve">500 </w:t>
      </w:r>
      <w:r w:rsidRPr="00014A56">
        <w:rPr>
          <w:rFonts w:ascii="Times New Roman" w:hAnsi="Times New Roman" w:cs="Times New Roman"/>
          <w:sz w:val="24"/>
          <w:szCs w:val="24"/>
        </w:rPr>
        <w:t>млн гривень.</w:t>
      </w:r>
    </w:p>
    <w:p w:rsidR="00014A56" w:rsidRPr="00014A56" w:rsidRDefault="00014A56" w:rsidP="00014A56">
      <w:pPr>
        <w:autoSpaceDE w:val="0"/>
        <w:autoSpaceDN w:val="0"/>
        <w:adjustRightInd w:val="0"/>
        <w:spacing w:after="0" w:line="240" w:lineRule="auto"/>
        <w:ind w:firstLine="567"/>
        <w:jc w:val="both"/>
        <w:rPr>
          <w:rFonts w:ascii="Times New Roman" w:eastAsia="Times New Roman" w:hAnsi="Times New Roman" w:cs="Times New Roman"/>
          <w:sz w:val="24"/>
          <w:szCs w:val="24"/>
          <w:lang w:eastAsia="uk-UA"/>
        </w:rPr>
      </w:pPr>
      <w:r w:rsidRPr="00014A56">
        <w:rPr>
          <w:rFonts w:ascii="Times New Roman" w:hAnsi="Times New Roman" w:cs="Times New Roman"/>
          <w:sz w:val="24"/>
          <w:szCs w:val="24"/>
        </w:rPr>
        <w:t xml:space="preserve">Фактичні надходження від приватизації державного майна до загального фонду державного бюджету у 2020 році дорівнювали </w:t>
      </w:r>
      <w:r w:rsidRPr="00014A56">
        <w:rPr>
          <w:rFonts w:ascii="Times New Roman" w:hAnsi="Times New Roman" w:cs="Times New Roman"/>
          <w:bCs/>
          <w:sz w:val="24"/>
          <w:szCs w:val="24"/>
        </w:rPr>
        <w:t xml:space="preserve">2,2 </w:t>
      </w:r>
      <w:r w:rsidRPr="00014A56">
        <w:rPr>
          <w:rFonts w:ascii="Times New Roman" w:hAnsi="Times New Roman" w:cs="Times New Roman"/>
          <w:sz w:val="24"/>
          <w:szCs w:val="24"/>
        </w:rPr>
        <w:t xml:space="preserve">млрд грн, перевиконання річного планового показника приватизації склало </w:t>
      </w:r>
      <w:r w:rsidRPr="00014A56">
        <w:rPr>
          <w:rFonts w:ascii="Times New Roman" w:hAnsi="Times New Roman" w:cs="Times New Roman"/>
          <w:bCs/>
          <w:sz w:val="24"/>
          <w:szCs w:val="24"/>
        </w:rPr>
        <w:t xml:space="preserve">1,7 </w:t>
      </w:r>
      <w:r w:rsidRPr="00014A56">
        <w:rPr>
          <w:rFonts w:ascii="Times New Roman" w:hAnsi="Times New Roman" w:cs="Times New Roman"/>
          <w:sz w:val="24"/>
          <w:szCs w:val="24"/>
        </w:rPr>
        <w:t xml:space="preserve">млрд гривень. Найбільша частка у надходженнях за один лот – </w:t>
      </w:r>
      <w:r w:rsidRPr="00014A56">
        <w:rPr>
          <w:rFonts w:ascii="Times New Roman" w:hAnsi="Times New Roman" w:cs="Times New Roman"/>
          <w:sz w:val="24"/>
          <w:szCs w:val="24"/>
        </w:rPr>
        <w:br/>
      </w:r>
      <w:r w:rsidRPr="00014A56">
        <w:rPr>
          <w:rFonts w:ascii="Times New Roman" w:hAnsi="Times New Roman" w:cs="Times New Roman"/>
          <w:bCs/>
          <w:sz w:val="24"/>
          <w:szCs w:val="24"/>
        </w:rPr>
        <w:t xml:space="preserve">49,4 </w:t>
      </w:r>
      <w:r w:rsidRPr="00014A56">
        <w:rPr>
          <w:rFonts w:ascii="Times New Roman" w:hAnsi="Times New Roman" w:cs="Times New Roman"/>
          <w:sz w:val="24"/>
          <w:szCs w:val="24"/>
        </w:rPr>
        <w:t xml:space="preserve">відсотка обсягу надходжень – становив продаж державного пакету акцій розміром </w:t>
      </w:r>
      <w:r w:rsidRPr="00014A56">
        <w:rPr>
          <w:rFonts w:ascii="Times New Roman" w:hAnsi="Times New Roman" w:cs="Times New Roman"/>
          <w:sz w:val="24"/>
          <w:szCs w:val="24"/>
        </w:rPr>
        <w:br/>
      </w:r>
      <w:r w:rsidRPr="00014A56">
        <w:rPr>
          <w:rFonts w:ascii="Times New Roman" w:hAnsi="Times New Roman" w:cs="Times New Roman"/>
          <w:bCs/>
          <w:sz w:val="24"/>
          <w:szCs w:val="24"/>
        </w:rPr>
        <w:t xml:space="preserve">100 </w:t>
      </w:r>
      <w:r w:rsidRPr="00014A56">
        <w:rPr>
          <w:rFonts w:ascii="Times New Roman" w:hAnsi="Times New Roman" w:cs="Times New Roman"/>
          <w:sz w:val="24"/>
          <w:szCs w:val="24"/>
        </w:rPr>
        <w:t xml:space="preserve">відсотків статутного капіталу ПрАТ «Готель «Дніпро» у сумі </w:t>
      </w:r>
      <w:r w:rsidRPr="00014A56">
        <w:rPr>
          <w:rFonts w:ascii="Times New Roman" w:hAnsi="Times New Roman" w:cs="Times New Roman"/>
          <w:bCs/>
          <w:sz w:val="24"/>
          <w:szCs w:val="24"/>
        </w:rPr>
        <w:t xml:space="preserve">1,1 </w:t>
      </w:r>
      <w:r w:rsidRPr="00014A56">
        <w:rPr>
          <w:rFonts w:ascii="Times New Roman" w:hAnsi="Times New Roman" w:cs="Times New Roman"/>
          <w:sz w:val="24"/>
          <w:szCs w:val="24"/>
        </w:rPr>
        <w:t xml:space="preserve">млрд гривень. Решта коштів надійшла від проведених аукціонів з продажу підприємств спиртової галузі – МПД </w:t>
      </w:r>
      <w:r w:rsidRPr="00014A56">
        <w:rPr>
          <w:rFonts w:ascii="Times New Roman" w:hAnsi="Times New Roman" w:cs="Times New Roman"/>
          <w:sz w:val="24"/>
          <w:szCs w:val="24"/>
        </w:rPr>
        <w:br/>
        <w:t>(місця провадження діяльності та зберігання спирту), що входять до ДП «Укрспирт», та об’єктів малої приватизації.</w:t>
      </w:r>
    </w:p>
    <w:p w:rsidR="00014A56" w:rsidRPr="00014A56" w:rsidRDefault="00014A56" w:rsidP="00014A56">
      <w:pPr>
        <w:spacing w:after="0" w:line="240" w:lineRule="auto"/>
        <w:ind w:firstLine="567"/>
        <w:jc w:val="both"/>
        <w:rPr>
          <w:rFonts w:ascii="Times New Roman" w:hAnsi="Times New Roman" w:cs="Times New Roman"/>
          <w:sz w:val="24"/>
          <w:szCs w:val="24"/>
        </w:rPr>
      </w:pPr>
      <w:r w:rsidRPr="00014A56">
        <w:rPr>
          <w:rFonts w:ascii="Times New Roman" w:hAnsi="Times New Roman" w:cs="Times New Roman"/>
          <w:sz w:val="24"/>
          <w:szCs w:val="24"/>
        </w:rPr>
        <w:t>Слід зазначити, що Перелік об’єктів великої приватизації державної власності затверджено розпорядженням Кабінету Міністрів України від 16.01.2019 № 36-р (із змінами), який не має визначеного строку дії.</w:t>
      </w:r>
    </w:p>
    <w:p w:rsidR="00014A56" w:rsidRPr="00014A56" w:rsidRDefault="00014A56" w:rsidP="00014A56">
      <w:pPr>
        <w:spacing w:after="0" w:line="240" w:lineRule="auto"/>
        <w:ind w:firstLine="567"/>
        <w:jc w:val="both"/>
        <w:rPr>
          <w:rFonts w:ascii="Times New Roman" w:hAnsi="Times New Roman" w:cs="Times New Roman"/>
          <w:sz w:val="24"/>
          <w:szCs w:val="24"/>
        </w:rPr>
      </w:pPr>
      <w:r w:rsidRPr="00014A56">
        <w:rPr>
          <w:rFonts w:ascii="Times New Roman" w:hAnsi="Times New Roman" w:cs="Times New Roman"/>
          <w:sz w:val="24"/>
          <w:szCs w:val="24"/>
        </w:rPr>
        <w:t xml:space="preserve">З березня 2020 року по квітень 2021 року Законами України було призупинено приватизацію об’єктів великої приватизації, аукціони з продажу об’єктів великої приватизації не проводились. </w:t>
      </w:r>
    </w:p>
    <w:p w:rsidR="00014A56" w:rsidRPr="00014A56" w:rsidRDefault="00014A56" w:rsidP="00014A56">
      <w:pPr>
        <w:spacing w:after="0" w:line="240" w:lineRule="auto"/>
        <w:ind w:firstLine="567"/>
        <w:jc w:val="both"/>
        <w:rPr>
          <w:rFonts w:ascii="Times New Roman" w:hAnsi="Times New Roman" w:cs="Times New Roman"/>
          <w:sz w:val="24"/>
          <w:szCs w:val="24"/>
        </w:rPr>
      </w:pPr>
      <w:r w:rsidRPr="00014A56">
        <w:rPr>
          <w:rFonts w:ascii="Times New Roman" w:hAnsi="Times New Roman" w:cs="Times New Roman"/>
          <w:sz w:val="24"/>
          <w:szCs w:val="24"/>
        </w:rPr>
        <w:t>Законом України від 30.03.2021 № 1365-IX «Про внесення змін до Розділу V «Прикінцеві та перехідні положення» Закону України «Про приватизацію державного і комунального майна» відновлено проведення аукціонів з продажу об’єктів великої приватизації (крім аукціонів із зниженням стартової ціни, аукціонів за методом вивчення цінових пропозицій, а також приватизація шляхом викупу).</w:t>
      </w:r>
    </w:p>
    <w:p w:rsidR="00014A56" w:rsidRPr="00014A56" w:rsidRDefault="00014A56" w:rsidP="00014A56">
      <w:pPr>
        <w:autoSpaceDE w:val="0"/>
        <w:autoSpaceDN w:val="0"/>
        <w:adjustRightInd w:val="0"/>
        <w:spacing w:after="0" w:line="240" w:lineRule="auto"/>
        <w:ind w:firstLine="567"/>
        <w:jc w:val="both"/>
        <w:rPr>
          <w:rFonts w:ascii="Times New Roman" w:hAnsi="Times New Roman" w:cs="Times New Roman"/>
          <w:sz w:val="24"/>
          <w:szCs w:val="24"/>
        </w:rPr>
      </w:pPr>
      <w:r w:rsidRPr="00014A56">
        <w:rPr>
          <w:rFonts w:ascii="Times New Roman" w:hAnsi="Times New Roman" w:cs="Times New Roman"/>
          <w:sz w:val="24"/>
          <w:szCs w:val="24"/>
        </w:rPr>
        <w:t>Після зняття законодавчих обмежень продажу об’єктів великої приватизації Фонд державного майна активізував роботу з підготовки таких об’єктів до продажу та забезпечення проведення аукціонів.</w:t>
      </w:r>
    </w:p>
    <w:p w:rsidR="00014A56" w:rsidRPr="00014A56" w:rsidRDefault="00014A56" w:rsidP="00014A56">
      <w:pPr>
        <w:pStyle w:val="rvps2"/>
        <w:spacing w:before="0" w:beforeAutospacing="0" w:after="0" w:afterAutospacing="0"/>
        <w:ind w:firstLine="567"/>
        <w:jc w:val="both"/>
      </w:pPr>
      <w:r w:rsidRPr="00014A56">
        <w:t xml:space="preserve">Ураховуючи прийняття вказаного Закону, Кабінет Міністрів України на засіданні 16 червня 2021 року ухвалив розпорядження № 662-р «Про затвердження умов продажу державного пакета акцій акціонерного товариства «Об’єднана гірничо-хімічна компанія» на аукціоні», яким затвердив умови приватизації та пропозицію стартової ціни підприємства. Стартова ціна державного пакета акцій становить 3,7 млрд гривень. </w:t>
      </w:r>
    </w:p>
    <w:p w:rsidR="00014A56" w:rsidRPr="00014A56" w:rsidRDefault="00014A56" w:rsidP="00014A56">
      <w:pPr>
        <w:pStyle w:val="rvps2"/>
        <w:spacing w:before="0" w:beforeAutospacing="0" w:after="0" w:afterAutospacing="0"/>
        <w:ind w:firstLine="567"/>
        <w:jc w:val="both"/>
      </w:pPr>
      <w:r w:rsidRPr="00014A56">
        <w:t>Щодо інших об</w:t>
      </w:r>
      <w:r w:rsidRPr="00014A56">
        <w:rPr>
          <w:lang w:val="ru-RU"/>
        </w:rPr>
        <w:t>’</w:t>
      </w:r>
      <w:proofErr w:type="spellStart"/>
      <w:r w:rsidRPr="00014A56">
        <w:t>єктів</w:t>
      </w:r>
      <w:proofErr w:type="spellEnd"/>
      <w:r w:rsidRPr="00014A56">
        <w:t xml:space="preserve"> великої приватизації, запланованих до продажу у 2021 році </w:t>
      </w:r>
      <w:r w:rsidRPr="00014A56">
        <w:br/>
        <w:t>(АТ «Перший київський машинобудівний завод», ПрАТ «Президент-Готель»), за даними Фонду державного майна наразі радниками здійснюється робота щодо підготовки до продажу об</w:t>
      </w:r>
      <w:r w:rsidRPr="00014A56">
        <w:rPr>
          <w:lang w:val="ru-RU"/>
        </w:rPr>
        <w:t>’</w:t>
      </w:r>
      <w:proofErr w:type="spellStart"/>
      <w:r w:rsidRPr="00014A56">
        <w:t>єктів</w:t>
      </w:r>
      <w:proofErr w:type="spellEnd"/>
      <w:r w:rsidRPr="00014A56">
        <w:t xml:space="preserve">. </w:t>
      </w:r>
    </w:p>
    <w:p w:rsidR="00014A56" w:rsidRPr="00014A56" w:rsidRDefault="00014A56" w:rsidP="00014A56">
      <w:pPr>
        <w:pStyle w:val="rvps2"/>
        <w:spacing w:before="0" w:beforeAutospacing="0" w:after="0" w:afterAutospacing="0"/>
        <w:ind w:firstLine="567"/>
        <w:jc w:val="both"/>
      </w:pPr>
      <w:r w:rsidRPr="00CC3EC2">
        <w:t xml:space="preserve">Слід зазначити, що Законом України «Про Державний бюджет України на 2021 рік» надходження до загального фонду від приватизації державного майна передбачені у сумі 12 млрд гривень. Станом на </w:t>
      </w:r>
      <w:r w:rsidR="00CC3EC2" w:rsidRPr="00CC3EC2">
        <w:t>31</w:t>
      </w:r>
      <w:r w:rsidRPr="00CC3EC2">
        <w:t>.08.2021 фактично до загального фонду від приватизації державного майна надійшло 1</w:t>
      </w:r>
      <w:r w:rsidR="00CC3EC2" w:rsidRPr="00CC3EC2">
        <w:t>624,7</w:t>
      </w:r>
      <w:r w:rsidRPr="00CC3EC2">
        <w:t xml:space="preserve"> млн грн, що становить 16,</w:t>
      </w:r>
      <w:r w:rsidR="00CC3EC2" w:rsidRPr="00CC3EC2">
        <w:t>5</w:t>
      </w:r>
      <w:r w:rsidRPr="00CC3EC2">
        <w:t xml:space="preserve"> % виконання планових показників на січень-серпень поточного року та 13,</w:t>
      </w:r>
      <w:r w:rsidR="00185626">
        <w:t>5</w:t>
      </w:r>
      <w:r w:rsidRPr="00CC3EC2">
        <w:t>% за рік. Зазначені надходження забезпечені за рахунок продажу об</w:t>
      </w:r>
      <w:r w:rsidRPr="00CC3EC2">
        <w:rPr>
          <w:lang w:val="ru-RU"/>
        </w:rPr>
        <w:t>’</w:t>
      </w:r>
      <w:proofErr w:type="spellStart"/>
      <w:r w:rsidRPr="00CC3EC2">
        <w:t>єктів</w:t>
      </w:r>
      <w:proofErr w:type="spellEnd"/>
      <w:r w:rsidRPr="00CC3EC2">
        <w:t xml:space="preserve"> малої приватизації на електронних аукціонах.</w:t>
      </w:r>
    </w:p>
    <w:p w:rsidR="00014A56" w:rsidRPr="00014A56" w:rsidRDefault="00014A56" w:rsidP="00014A56">
      <w:pPr>
        <w:spacing w:after="0" w:line="240" w:lineRule="auto"/>
        <w:ind w:firstLine="567"/>
        <w:jc w:val="both"/>
        <w:rPr>
          <w:rFonts w:ascii="Times New Roman" w:hAnsi="Times New Roman" w:cs="Times New Roman"/>
          <w:sz w:val="24"/>
          <w:szCs w:val="24"/>
        </w:rPr>
      </w:pPr>
      <w:r w:rsidRPr="00014A56">
        <w:rPr>
          <w:rFonts w:ascii="Times New Roman" w:hAnsi="Times New Roman" w:cs="Times New Roman"/>
          <w:sz w:val="24"/>
          <w:szCs w:val="24"/>
        </w:rPr>
        <w:t>З огляду на такий фактичний стан надходження коштів від приватизації до державного бюджету, можливі ризики невиконання плану вказаних надходжень у 2021 році оцінюються у розмірі 8,3 млрд гривень.</w:t>
      </w:r>
    </w:p>
    <w:p w:rsidR="00014A56" w:rsidRPr="00014A56" w:rsidRDefault="00014A56" w:rsidP="00014A56">
      <w:pPr>
        <w:pStyle w:val="rvps2"/>
        <w:spacing w:before="0" w:beforeAutospacing="0" w:after="0" w:afterAutospacing="0"/>
        <w:ind w:firstLine="567"/>
        <w:jc w:val="both"/>
      </w:pPr>
      <w:r w:rsidRPr="00014A56">
        <w:t xml:space="preserve">Ураховуючи темпи підготовки об’єктів до продажу, у 2021 році існує висока імовірність невиконання плану надходжень від приватизації державного майна та перенесення продажу об’єктів великої приватизації на 2022 рік. </w:t>
      </w:r>
    </w:p>
    <w:p w:rsidR="00014A56" w:rsidRPr="00014A56" w:rsidRDefault="00014A56" w:rsidP="00014A56">
      <w:pPr>
        <w:autoSpaceDE w:val="0"/>
        <w:autoSpaceDN w:val="0"/>
        <w:adjustRightInd w:val="0"/>
        <w:spacing w:after="0" w:line="240" w:lineRule="auto"/>
        <w:ind w:firstLine="567"/>
        <w:jc w:val="both"/>
        <w:rPr>
          <w:rFonts w:ascii="Times New Roman" w:hAnsi="Times New Roman" w:cs="Times New Roman"/>
          <w:sz w:val="24"/>
          <w:szCs w:val="24"/>
        </w:rPr>
      </w:pPr>
      <w:r w:rsidRPr="00014A56">
        <w:rPr>
          <w:rFonts w:ascii="Times New Roman" w:hAnsi="Times New Roman" w:cs="Times New Roman"/>
          <w:sz w:val="24"/>
          <w:szCs w:val="24"/>
        </w:rPr>
        <w:t>При цьому недоотримання коштів від приватизації державного майна призведе до збільшення державних запозичень (відповідно до положень статті 15 Бюджетного кодексу України), що в свою чергу призведе до збільшення обсягу державного боргу та видатків на його обслуговування.</w:t>
      </w:r>
    </w:p>
    <w:p w:rsidR="00014A56" w:rsidRPr="00014A56" w:rsidRDefault="00014A56" w:rsidP="00014A56">
      <w:pPr>
        <w:spacing w:after="0" w:line="240" w:lineRule="auto"/>
        <w:ind w:firstLine="708"/>
        <w:jc w:val="both"/>
        <w:rPr>
          <w:rFonts w:ascii="Times New Roman" w:eastAsia="Times New Roman" w:hAnsi="Times New Roman" w:cs="Times New Roman"/>
          <w:sz w:val="24"/>
          <w:szCs w:val="24"/>
          <w:lang w:eastAsia="uk-UA"/>
        </w:rPr>
      </w:pPr>
      <w:r w:rsidRPr="00014A56">
        <w:rPr>
          <w:rFonts w:ascii="Times New Roman" w:eastAsia="Times New Roman" w:hAnsi="Times New Roman" w:cs="Times New Roman"/>
          <w:sz w:val="24"/>
          <w:szCs w:val="24"/>
          <w:lang w:eastAsia="uk-UA"/>
        </w:rPr>
        <w:t xml:space="preserve">Необхідною умовою забезпечення надходження коштів до державного бюджету від приватизації державного майна в 2022 році є: </w:t>
      </w:r>
    </w:p>
    <w:p w:rsidR="00014A56" w:rsidRPr="00014A56" w:rsidRDefault="00014A56" w:rsidP="00014A56">
      <w:pPr>
        <w:pStyle w:val="a4"/>
        <w:numPr>
          <w:ilvl w:val="0"/>
          <w:numId w:val="39"/>
        </w:numPr>
        <w:spacing w:after="0" w:line="240" w:lineRule="auto"/>
        <w:ind w:left="0" w:firstLine="567"/>
        <w:jc w:val="both"/>
        <w:rPr>
          <w:rFonts w:ascii="Times New Roman" w:eastAsia="Times New Roman" w:hAnsi="Times New Roman" w:cs="Times New Roman"/>
          <w:sz w:val="24"/>
          <w:szCs w:val="24"/>
          <w:lang w:eastAsia="uk-UA"/>
        </w:rPr>
      </w:pPr>
      <w:r w:rsidRPr="00014A56">
        <w:rPr>
          <w:rFonts w:ascii="Times New Roman" w:eastAsia="Times New Roman" w:hAnsi="Times New Roman" w:cs="Times New Roman"/>
          <w:sz w:val="24"/>
          <w:szCs w:val="24"/>
          <w:lang w:eastAsia="uk-UA"/>
        </w:rPr>
        <w:t>забезпечення Фондом державного майна обґрунтованого планування надходження коштів від приватизації державного майна;</w:t>
      </w:r>
    </w:p>
    <w:p w:rsidR="00014A56" w:rsidRPr="00014A56" w:rsidRDefault="00014A56" w:rsidP="00014A56">
      <w:pPr>
        <w:pStyle w:val="a4"/>
        <w:numPr>
          <w:ilvl w:val="0"/>
          <w:numId w:val="39"/>
        </w:numPr>
        <w:spacing w:after="0" w:line="240" w:lineRule="auto"/>
        <w:ind w:left="0" w:firstLine="567"/>
        <w:jc w:val="both"/>
        <w:rPr>
          <w:rFonts w:ascii="Times New Roman" w:eastAsia="Times New Roman" w:hAnsi="Times New Roman" w:cs="Times New Roman"/>
          <w:sz w:val="24"/>
          <w:szCs w:val="24"/>
          <w:lang w:eastAsia="uk-UA"/>
        </w:rPr>
      </w:pPr>
      <w:r w:rsidRPr="00014A56">
        <w:rPr>
          <w:rFonts w:ascii="Times New Roman" w:hAnsi="Times New Roman" w:cs="Times New Roman"/>
          <w:sz w:val="24"/>
          <w:szCs w:val="24"/>
        </w:rPr>
        <w:t xml:space="preserve">прискорення проведення Фондом державного майна </w:t>
      </w:r>
      <w:r w:rsidRPr="00014A56">
        <w:rPr>
          <w:rFonts w:ascii="Times New Roman" w:eastAsia="Times New Roman" w:hAnsi="Times New Roman" w:cs="Times New Roman"/>
          <w:sz w:val="24"/>
          <w:szCs w:val="24"/>
          <w:lang w:eastAsia="uk-UA"/>
        </w:rPr>
        <w:t>конкурсів з відбору радників для підготовки до приватизації та продажу об’єктів, включених рішенням Уряду до переліку об’єктів великої приватизації і затвердження Кабінетом Міністрів радників та умов продажу;</w:t>
      </w:r>
    </w:p>
    <w:p w:rsidR="00014A56" w:rsidRPr="00014A56" w:rsidRDefault="00014A56" w:rsidP="00014A56">
      <w:pPr>
        <w:pStyle w:val="a4"/>
        <w:numPr>
          <w:ilvl w:val="0"/>
          <w:numId w:val="39"/>
        </w:numPr>
        <w:spacing w:after="0" w:line="240" w:lineRule="auto"/>
        <w:ind w:left="0" w:firstLine="567"/>
        <w:jc w:val="both"/>
        <w:rPr>
          <w:rFonts w:ascii="Times New Roman" w:eastAsia="Times New Roman" w:hAnsi="Times New Roman" w:cs="Times New Roman"/>
          <w:sz w:val="24"/>
          <w:szCs w:val="24"/>
          <w:lang w:eastAsia="uk-UA"/>
        </w:rPr>
      </w:pPr>
      <w:r w:rsidRPr="00014A56">
        <w:rPr>
          <w:rFonts w:ascii="Times New Roman" w:eastAsia="Times New Roman" w:hAnsi="Times New Roman" w:cs="Times New Roman"/>
          <w:sz w:val="24"/>
          <w:szCs w:val="24"/>
          <w:lang w:eastAsia="uk-UA"/>
        </w:rPr>
        <w:t xml:space="preserve">своєчасна передача органами уповноваженими управляти державним майном Фонду державного майна на приватизацію об’єктів; </w:t>
      </w:r>
    </w:p>
    <w:p w:rsidR="00014A56" w:rsidRPr="00014A56" w:rsidRDefault="00014A56" w:rsidP="00014A56">
      <w:pPr>
        <w:pStyle w:val="a4"/>
        <w:numPr>
          <w:ilvl w:val="0"/>
          <w:numId w:val="39"/>
        </w:numPr>
        <w:spacing w:after="0" w:line="240" w:lineRule="auto"/>
        <w:ind w:left="0" w:firstLine="567"/>
        <w:jc w:val="both"/>
        <w:rPr>
          <w:rFonts w:ascii="Times New Roman" w:eastAsia="Times New Roman" w:hAnsi="Times New Roman" w:cs="Times New Roman"/>
          <w:sz w:val="24"/>
          <w:szCs w:val="24"/>
          <w:lang w:eastAsia="uk-UA"/>
        </w:rPr>
      </w:pPr>
      <w:r w:rsidRPr="00014A56">
        <w:rPr>
          <w:rFonts w:ascii="Times New Roman" w:hAnsi="Times New Roman" w:cs="Times New Roman"/>
          <w:sz w:val="24"/>
          <w:szCs w:val="24"/>
        </w:rPr>
        <w:t>прийняття в установлені строки рішення про приватизацію</w:t>
      </w:r>
      <w:r w:rsidRPr="00014A56">
        <w:rPr>
          <w:rFonts w:ascii="Times New Roman" w:eastAsia="Times New Roman" w:hAnsi="Times New Roman" w:cs="Times New Roman"/>
          <w:sz w:val="24"/>
          <w:szCs w:val="24"/>
          <w:lang w:eastAsia="uk-UA"/>
        </w:rPr>
        <w:t>.</w:t>
      </w:r>
    </w:p>
    <w:p w:rsidR="00014A56" w:rsidRPr="00514C31" w:rsidRDefault="00014A56" w:rsidP="00014A56">
      <w:pPr>
        <w:pStyle w:val="1"/>
        <w:spacing w:after="120"/>
        <w:jc w:val="center"/>
        <w:rPr>
          <w:b/>
          <w:sz w:val="28"/>
        </w:rPr>
      </w:pPr>
      <w:bookmarkStart w:id="7" w:name="_Toc82168988"/>
      <w:r w:rsidRPr="00152DF1">
        <w:rPr>
          <w:b/>
          <w:sz w:val="28"/>
        </w:rPr>
        <w:t>ФІСКАЛЬНІ РИЗИКИ, ПОВ’ЯЗАНІ ІЗ СФЕРОЮ ПЕНСІЙНОГО ЗАБЕЗПЕЧЕННЯ</w:t>
      </w:r>
      <w:bookmarkEnd w:id="7"/>
    </w:p>
    <w:p w:rsidR="00014A56" w:rsidRPr="00014A56" w:rsidRDefault="00014A56" w:rsidP="00014A56">
      <w:pPr>
        <w:spacing w:after="0" w:line="240" w:lineRule="auto"/>
        <w:ind w:firstLine="567"/>
        <w:jc w:val="both"/>
        <w:rPr>
          <w:rFonts w:ascii="Times New Roman" w:eastAsia="Times New Roman" w:hAnsi="Times New Roman" w:cs="Times New Roman"/>
          <w:sz w:val="24"/>
          <w:szCs w:val="24"/>
          <w:lang w:eastAsia="uk-UA"/>
        </w:rPr>
      </w:pPr>
      <w:r w:rsidRPr="00014A56">
        <w:rPr>
          <w:rFonts w:ascii="Times New Roman" w:eastAsia="Times New Roman" w:hAnsi="Times New Roman" w:cs="Times New Roman"/>
          <w:sz w:val="24"/>
          <w:szCs w:val="24"/>
          <w:lang w:eastAsia="uk-UA"/>
        </w:rPr>
        <w:t>За інформацією Міністерства соціальної політики у 2020 році відбулися фіскальні ризики, пов’язані із невиконанням планових показників власних надходжень Пенсійного фонду внаслідок:</w:t>
      </w:r>
    </w:p>
    <w:p w:rsidR="00014A56" w:rsidRPr="00014A56" w:rsidRDefault="00014A56" w:rsidP="00014A56">
      <w:pPr>
        <w:spacing w:after="0" w:line="240" w:lineRule="auto"/>
        <w:ind w:firstLine="567"/>
        <w:jc w:val="both"/>
        <w:rPr>
          <w:rFonts w:ascii="Times New Roman" w:eastAsia="Times New Roman" w:hAnsi="Times New Roman" w:cs="Times New Roman"/>
          <w:sz w:val="24"/>
          <w:szCs w:val="24"/>
          <w:lang w:eastAsia="uk-UA"/>
        </w:rPr>
      </w:pPr>
      <w:r w:rsidRPr="00014A56">
        <w:rPr>
          <w:rFonts w:ascii="Times New Roman" w:eastAsia="Times New Roman" w:hAnsi="Times New Roman" w:cs="Times New Roman"/>
          <w:sz w:val="24"/>
          <w:szCs w:val="24"/>
          <w:lang w:eastAsia="uk-UA"/>
        </w:rPr>
        <w:t>- зменшення чисельності найманих працівників (чисельність найманих працівників у грудні 2020 р. склала 9 948,1 тис. осіб, що на 315,0 тис. осіб менше, ніж у грудні 2019 року);</w:t>
      </w:r>
    </w:p>
    <w:p w:rsidR="00014A56" w:rsidRPr="00014A56" w:rsidRDefault="00014A56" w:rsidP="00014A56">
      <w:pPr>
        <w:spacing w:after="0" w:line="240" w:lineRule="auto"/>
        <w:ind w:firstLine="567"/>
        <w:jc w:val="both"/>
        <w:rPr>
          <w:rFonts w:ascii="Times New Roman" w:eastAsia="Times New Roman" w:hAnsi="Times New Roman" w:cs="Times New Roman"/>
          <w:sz w:val="24"/>
          <w:szCs w:val="24"/>
          <w:lang w:eastAsia="uk-UA"/>
        </w:rPr>
      </w:pPr>
      <w:r w:rsidRPr="00014A56">
        <w:rPr>
          <w:rFonts w:ascii="Times New Roman" w:eastAsia="Times New Roman" w:hAnsi="Times New Roman" w:cs="Times New Roman"/>
          <w:sz w:val="24"/>
          <w:szCs w:val="24"/>
          <w:lang w:eastAsia="uk-UA"/>
        </w:rPr>
        <w:t>- зниження рівня платоспроможності, в т. ч. підприємств, установ, організацій у частині сплати обов’язкових страхових платежів у зв’язку із зменшенням доходів та уповільненням зростання заробітної плати у період дії карантину,  пов’язаного з поширенням COVID-19 (план по надходженню частини єдиного внеску, розподіленої на загальнообов’язкове державне пенсійне страхування не виконано на 19,7 млрд грн);</w:t>
      </w:r>
    </w:p>
    <w:p w:rsidR="00014A56" w:rsidRPr="00014A56" w:rsidRDefault="00014A56" w:rsidP="00014A56">
      <w:pPr>
        <w:tabs>
          <w:tab w:val="left" w:pos="709"/>
        </w:tabs>
        <w:spacing w:after="0" w:line="240" w:lineRule="auto"/>
        <w:ind w:firstLine="567"/>
        <w:jc w:val="both"/>
        <w:rPr>
          <w:rFonts w:ascii="Times New Roman" w:eastAsia="Times New Roman" w:hAnsi="Times New Roman" w:cs="Times New Roman"/>
          <w:sz w:val="24"/>
          <w:szCs w:val="24"/>
          <w:lang w:eastAsia="uk-UA"/>
        </w:rPr>
      </w:pPr>
      <w:r w:rsidRPr="00014A56">
        <w:rPr>
          <w:rFonts w:ascii="Times New Roman" w:eastAsia="Times New Roman" w:hAnsi="Times New Roman" w:cs="Times New Roman"/>
          <w:sz w:val="24"/>
          <w:szCs w:val="24"/>
          <w:lang w:eastAsia="uk-UA"/>
        </w:rPr>
        <w:t xml:space="preserve">- звільнення від нарахування, обчислення та сплати єдиного внеску на загальнообов’язкове державне соціальне страхування відповідно до Законів України від 17.03.2020 № 533-ІX, </w:t>
      </w:r>
      <w:r w:rsidRPr="00014A56">
        <w:rPr>
          <w:rFonts w:ascii="Times New Roman" w:eastAsia="Times New Roman" w:hAnsi="Times New Roman" w:cs="Times New Roman"/>
          <w:sz w:val="24"/>
          <w:szCs w:val="24"/>
          <w:lang w:eastAsia="uk-UA"/>
        </w:rPr>
        <w:br/>
        <w:t>від 30.03.2020 № 540 - ІX, від 13.05.2020 № 591-ІX та від 13.05.2020 № 592-ІX (втрати Пенсійного фонду України за</w:t>
      </w:r>
      <w:r w:rsidRPr="00014A56">
        <w:rPr>
          <w:rFonts w:ascii="Times New Roman" w:hAnsi="Times New Roman" w:cs="Times New Roman"/>
          <w:sz w:val="24"/>
          <w:szCs w:val="24"/>
        </w:rPr>
        <w:t xml:space="preserve"> період з 01.03.2020 по 31.05.2020 становили 4,2 млрд грн</w:t>
      </w:r>
      <w:r w:rsidRPr="00014A56">
        <w:rPr>
          <w:rFonts w:ascii="Times New Roman" w:eastAsia="Times New Roman" w:hAnsi="Times New Roman" w:cs="Times New Roman"/>
          <w:sz w:val="24"/>
          <w:szCs w:val="24"/>
          <w:lang w:eastAsia="uk-UA"/>
        </w:rPr>
        <w:t>);</w:t>
      </w:r>
    </w:p>
    <w:p w:rsidR="00014A56" w:rsidRPr="00014A56" w:rsidRDefault="00014A56" w:rsidP="00014A56">
      <w:pPr>
        <w:spacing w:after="0" w:line="240" w:lineRule="auto"/>
        <w:ind w:firstLine="567"/>
        <w:jc w:val="both"/>
        <w:rPr>
          <w:rFonts w:ascii="Times New Roman" w:eastAsia="Times New Roman" w:hAnsi="Times New Roman" w:cs="Times New Roman"/>
          <w:sz w:val="24"/>
          <w:szCs w:val="24"/>
          <w:lang w:eastAsia="uk-UA"/>
        </w:rPr>
      </w:pPr>
      <w:r w:rsidRPr="00014A56">
        <w:rPr>
          <w:rFonts w:ascii="Times New Roman" w:eastAsia="Times New Roman" w:hAnsi="Times New Roman" w:cs="Times New Roman"/>
          <w:sz w:val="24"/>
          <w:szCs w:val="24"/>
          <w:lang w:eastAsia="uk-UA"/>
        </w:rPr>
        <w:t>-  зростання заборгованості зі сплати ЄСВ та відшкодування пільгових пенсій (станом на 01.01.2021 загальна сума заборгованості з обов’язкових страхових платежів та зі сплати єдиного внеску склала 37,6 млрд грн, з яких 20,7 млрд грн зі сплати єдиного внеску (за даними ДПС), сума заборгованості по відшкодуванню пільгових пенсій – 15,5 млрд грн).</w:t>
      </w:r>
    </w:p>
    <w:p w:rsidR="00A47E0B" w:rsidRDefault="00A47E0B" w:rsidP="00A47E0B">
      <w:pPr>
        <w:spacing w:after="0" w:line="240" w:lineRule="auto"/>
        <w:ind w:firstLine="567"/>
        <w:jc w:val="both"/>
        <w:rPr>
          <w:rFonts w:ascii="Times New Roman" w:hAnsi="Times New Roman" w:cs="Times New Roman"/>
          <w:b/>
          <w:color w:val="000000" w:themeColor="text1"/>
          <w:sz w:val="24"/>
          <w:szCs w:val="24"/>
        </w:rPr>
      </w:pPr>
      <w:r>
        <w:rPr>
          <w:rFonts w:ascii="Times New Roman" w:eastAsia="Times New Roman" w:hAnsi="Times New Roman" w:cs="Times New Roman"/>
          <w:color w:val="000000"/>
          <w:sz w:val="24"/>
          <w:szCs w:val="24"/>
          <w:lang w:eastAsia="uk-UA"/>
        </w:rPr>
        <w:t>Імовірність настання у 2022 році фіскальних ризиків, пов’язаних зі сферою пенсійного забезпечення,</w:t>
      </w:r>
      <w:r w:rsidRPr="001643DF">
        <w:rPr>
          <w:rFonts w:ascii="Times New Roman" w:eastAsia="Times New Roman" w:hAnsi="Times New Roman" w:cs="Times New Roman"/>
          <w:color w:val="000000"/>
          <w:sz w:val="24"/>
          <w:szCs w:val="24"/>
          <w:lang w:eastAsia="uk-UA"/>
        </w:rPr>
        <w:t xml:space="preserve"> </w:t>
      </w:r>
      <w:r>
        <w:rPr>
          <w:rFonts w:ascii="Times New Roman" w:eastAsia="Times New Roman" w:hAnsi="Times New Roman" w:cs="Times New Roman"/>
          <w:color w:val="000000"/>
          <w:sz w:val="24"/>
          <w:szCs w:val="24"/>
          <w:lang w:eastAsia="uk-UA"/>
        </w:rPr>
        <w:t xml:space="preserve">в тому числі через зазначені вище причини, є також високою, оскільки </w:t>
      </w:r>
      <w:r>
        <w:rPr>
          <w:rFonts w:ascii="Times New Roman" w:eastAsia="Times New Roman" w:hAnsi="Times New Roman" w:cs="Times New Roman"/>
          <w:bCs/>
          <w:color w:val="000000"/>
          <w:sz w:val="24"/>
          <w:szCs w:val="24"/>
          <w:lang w:eastAsia="uk-UA"/>
        </w:rPr>
        <w:t xml:space="preserve">тенденція до </w:t>
      </w:r>
      <w:r w:rsidRPr="007C7E7A">
        <w:rPr>
          <w:rFonts w:ascii="Times New Roman" w:eastAsia="Times New Roman" w:hAnsi="Times New Roman" w:cs="Times New Roman"/>
          <w:bCs/>
          <w:color w:val="000000"/>
          <w:sz w:val="24"/>
          <w:szCs w:val="24"/>
          <w:lang w:eastAsia="uk-UA"/>
        </w:rPr>
        <w:t>зростання заборгованості Пенсійного фонду за позиками, наданими з єдиного казначейського рахунку (далі – ЄКР) на покриття тимчасових касових розривів</w:t>
      </w:r>
      <w:r>
        <w:rPr>
          <w:rFonts w:ascii="Times New Roman" w:eastAsia="Times New Roman" w:hAnsi="Times New Roman" w:cs="Times New Roman"/>
          <w:bCs/>
          <w:color w:val="000000"/>
          <w:sz w:val="24"/>
          <w:szCs w:val="24"/>
          <w:lang w:eastAsia="uk-UA"/>
        </w:rPr>
        <w:t xml:space="preserve"> зберігається й надалі. Так, Пенсійний фонд за </w:t>
      </w:r>
      <w:r w:rsidRPr="00461ECF">
        <w:rPr>
          <w:rFonts w:ascii="Times New Roman" w:eastAsia="Times New Roman" w:hAnsi="Times New Roman" w:cs="Times New Roman"/>
          <w:bCs/>
          <w:color w:val="000000" w:themeColor="text1"/>
          <w:sz w:val="24"/>
          <w:szCs w:val="24"/>
          <w:lang w:eastAsia="uk-UA"/>
        </w:rPr>
        <w:t>січень – </w:t>
      </w:r>
      <w:r>
        <w:rPr>
          <w:rFonts w:ascii="Times New Roman" w:eastAsia="Times New Roman" w:hAnsi="Times New Roman" w:cs="Times New Roman"/>
          <w:bCs/>
          <w:color w:val="000000" w:themeColor="text1"/>
          <w:sz w:val="24"/>
          <w:szCs w:val="24"/>
          <w:lang w:eastAsia="uk-UA"/>
        </w:rPr>
        <w:t>серпень</w:t>
      </w:r>
      <w:r w:rsidRPr="00461ECF">
        <w:rPr>
          <w:rFonts w:ascii="Times New Roman" w:eastAsia="Times New Roman" w:hAnsi="Times New Roman" w:cs="Times New Roman"/>
          <w:bCs/>
          <w:color w:val="000000" w:themeColor="text1"/>
          <w:sz w:val="24"/>
          <w:szCs w:val="24"/>
          <w:lang w:eastAsia="uk-UA"/>
        </w:rPr>
        <w:t xml:space="preserve"> 202</w:t>
      </w:r>
      <w:r>
        <w:rPr>
          <w:rFonts w:ascii="Times New Roman" w:eastAsia="Times New Roman" w:hAnsi="Times New Roman" w:cs="Times New Roman"/>
          <w:bCs/>
          <w:color w:val="000000" w:themeColor="text1"/>
          <w:sz w:val="24"/>
          <w:szCs w:val="24"/>
          <w:lang w:eastAsia="uk-UA"/>
        </w:rPr>
        <w:t>1</w:t>
      </w:r>
      <w:r w:rsidRPr="00461ECF">
        <w:rPr>
          <w:rFonts w:ascii="Times New Roman" w:eastAsia="Times New Roman" w:hAnsi="Times New Roman" w:cs="Times New Roman"/>
          <w:bCs/>
          <w:color w:val="000000" w:themeColor="text1"/>
          <w:sz w:val="24"/>
          <w:szCs w:val="24"/>
          <w:lang w:eastAsia="uk-UA"/>
        </w:rPr>
        <w:t xml:space="preserve"> року вже </w:t>
      </w:r>
      <w:r>
        <w:rPr>
          <w:rFonts w:ascii="Times New Roman" w:eastAsia="Times New Roman" w:hAnsi="Times New Roman" w:cs="Times New Roman"/>
          <w:bCs/>
          <w:color w:val="000000" w:themeColor="text1"/>
          <w:sz w:val="24"/>
          <w:szCs w:val="24"/>
          <w:lang w:eastAsia="uk-UA"/>
        </w:rPr>
        <w:t>отримав позик з ЄКР на суму 111,5 млрд грн, але погасив лише 99,4</w:t>
      </w:r>
      <w:r w:rsidRPr="00461ECF">
        <w:rPr>
          <w:rFonts w:ascii="Times New Roman" w:eastAsia="Times New Roman" w:hAnsi="Times New Roman" w:cs="Times New Roman"/>
          <w:bCs/>
          <w:color w:val="000000" w:themeColor="text1"/>
          <w:sz w:val="24"/>
          <w:szCs w:val="24"/>
          <w:lang w:eastAsia="uk-UA"/>
        </w:rPr>
        <w:t xml:space="preserve"> млрд гривень. Таким чином, обсяг непогашеної заборгованості Пенсійного фонду пере</w:t>
      </w:r>
      <w:r>
        <w:rPr>
          <w:rFonts w:ascii="Times New Roman" w:eastAsia="Times New Roman" w:hAnsi="Times New Roman" w:cs="Times New Roman"/>
          <w:bCs/>
          <w:color w:val="000000" w:themeColor="text1"/>
          <w:sz w:val="24"/>
          <w:szCs w:val="24"/>
          <w:lang w:eastAsia="uk-UA"/>
        </w:rPr>
        <w:t>д ЄКР сягнув у 2021 році вже 12,1</w:t>
      </w:r>
      <w:r w:rsidRPr="00461ECF">
        <w:rPr>
          <w:rFonts w:ascii="Times New Roman" w:eastAsia="Times New Roman" w:hAnsi="Times New Roman" w:cs="Times New Roman"/>
          <w:bCs/>
          <w:color w:val="000000" w:themeColor="text1"/>
          <w:sz w:val="24"/>
          <w:szCs w:val="24"/>
          <w:lang w:eastAsia="uk-UA"/>
        </w:rPr>
        <w:t xml:space="preserve"> млрд грн, а загальна сума заборгованості Пенсійного фонду за такими позиками стан</w:t>
      </w:r>
      <w:r>
        <w:rPr>
          <w:rFonts w:ascii="Times New Roman" w:eastAsia="Times New Roman" w:hAnsi="Times New Roman" w:cs="Times New Roman"/>
          <w:bCs/>
          <w:color w:val="000000" w:themeColor="text1"/>
          <w:sz w:val="24"/>
          <w:szCs w:val="24"/>
          <w:lang w:eastAsia="uk-UA"/>
        </w:rPr>
        <w:t>ом на 01.09.202</w:t>
      </w:r>
      <w:r w:rsidRPr="00843F53">
        <w:rPr>
          <w:rFonts w:ascii="Times New Roman" w:eastAsia="Times New Roman" w:hAnsi="Times New Roman" w:cs="Times New Roman"/>
          <w:bCs/>
          <w:color w:val="000000" w:themeColor="text1"/>
          <w:sz w:val="24"/>
          <w:szCs w:val="24"/>
          <w:lang w:val="ru-RU" w:eastAsia="uk-UA"/>
        </w:rPr>
        <w:t>1</w:t>
      </w:r>
      <w:r>
        <w:rPr>
          <w:rFonts w:ascii="Times New Roman" w:eastAsia="Times New Roman" w:hAnsi="Times New Roman" w:cs="Times New Roman"/>
          <w:bCs/>
          <w:color w:val="000000" w:themeColor="text1"/>
          <w:sz w:val="24"/>
          <w:szCs w:val="24"/>
          <w:lang w:eastAsia="uk-UA"/>
        </w:rPr>
        <w:t xml:space="preserve"> станови</w:t>
      </w:r>
      <w:r w:rsidR="00991956">
        <w:rPr>
          <w:rFonts w:ascii="Times New Roman" w:eastAsia="Times New Roman" w:hAnsi="Times New Roman" w:cs="Times New Roman"/>
          <w:bCs/>
          <w:color w:val="000000" w:themeColor="text1"/>
          <w:sz w:val="24"/>
          <w:szCs w:val="24"/>
          <w:lang w:eastAsia="uk-UA"/>
        </w:rPr>
        <w:t>ла</w:t>
      </w:r>
      <w:r>
        <w:rPr>
          <w:rFonts w:ascii="Times New Roman" w:eastAsia="Times New Roman" w:hAnsi="Times New Roman" w:cs="Times New Roman"/>
          <w:bCs/>
          <w:color w:val="000000" w:themeColor="text1"/>
          <w:sz w:val="24"/>
          <w:szCs w:val="24"/>
          <w:lang w:eastAsia="uk-UA"/>
        </w:rPr>
        <w:t xml:space="preserve"> 74,2 млрд гривень.</w:t>
      </w:r>
    </w:p>
    <w:p w:rsidR="00E5000B" w:rsidRPr="002D5A8D" w:rsidRDefault="00E5000B" w:rsidP="00E5000B">
      <w:pPr>
        <w:spacing w:before="120" w:after="120" w:line="240" w:lineRule="auto"/>
        <w:jc w:val="center"/>
        <w:rPr>
          <w:rFonts w:ascii="Times New Roman" w:hAnsi="Times New Roman" w:cs="Times New Roman"/>
          <w:b/>
          <w:color w:val="000000" w:themeColor="text1"/>
          <w:szCs w:val="24"/>
        </w:rPr>
      </w:pPr>
      <w:r w:rsidRPr="002D5A8D">
        <w:rPr>
          <w:rFonts w:ascii="Times New Roman" w:hAnsi="Times New Roman" w:cs="Times New Roman"/>
          <w:b/>
          <w:color w:val="000000" w:themeColor="text1"/>
          <w:szCs w:val="24"/>
        </w:rPr>
        <w:t>Динаміка погашення Пенсійним фондом позик з ЄКР за 2018-2021 роки</w:t>
      </w:r>
    </w:p>
    <w:p w:rsidR="00E5000B" w:rsidRPr="001643DF" w:rsidRDefault="00E5000B" w:rsidP="00E5000B">
      <w:pPr>
        <w:spacing w:after="0" w:line="240" w:lineRule="auto"/>
        <w:jc w:val="both"/>
        <w:rPr>
          <w:rFonts w:ascii="Times New Roman" w:hAnsi="Times New Roman" w:cs="Times New Roman"/>
          <w:color w:val="000000" w:themeColor="text1"/>
          <w:sz w:val="24"/>
          <w:szCs w:val="24"/>
          <w14:textOutline w14:w="9525" w14:cap="rnd" w14:cmpd="sng" w14:algn="ctr">
            <w14:solidFill>
              <w14:schemeClr w14:val="accent1"/>
            </w14:solidFill>
            <w14:prstDash w14:val="solid"/>
            <w14:bevel/>
          </w14:textOutline>
        </w:rPr>
      </w:pPr>
      <w:r w:rsidRPr="001643DF">
        <w:rPr>
          <w:rFonts w:ascii="Times New Roman" w:hAnsi="Times New Roman" w:cs="Times New Roman"/>
          <w:noProof/>
          <w:color w:val="000000" w:themeColor="text1"/>
          <w:sz w:val="28"/>
          <w:szCs w:val="28"/>
          <w:lang w:eastAsia="uk-UA"/>
          <w14:textOutline w14:w="9525" w14:cap="rnd" w14:cmpd="sng" w14:algn="ctr">
            <w14:solidFill>
              <w14:schemeClr w14:val="accent1"/>
            </w14:solidFill>
            <w14:prstDash w14:val="solid"/>
            <w14:bevel/>
          </w14:textOutline>
        </w:rPr>
        <w:drawing>
          <wp:inline distT="0" distB="0" distL="0" distR="0" wp14:anchorId="22DCA259" wp14:editId="054CF5A5">
            <wp:extent cx="6303645" cy="2400935"/>
            <wp:effectExtent l="0" t="0" r="1905" b="18415"/>
            <wp:docPr id="27" name="Діаграма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014A56" w:rsidRPr="00014A56" w:rsidRDefault="00014A56" w:rsidP="00014A56">
      <w:pPr>
        <w:spacing w:after="0" w:line="240" w:lineRule="auto"/>
        <w:jc w:val="both"/>
        <w:rPr>
          <w:rFonts w:ascii="Times New Roman" w:hAnsi="Times New Roman" w:cs="Times New Roman"/>
          <w:i/>
          <w:sz w:val="24"/>
        </w:rPr>
      </w:pPr>
      <w:r w:rsidRPr="00014A56">
        <w:rPr>
          <w:rFonts w:ascii="Times New Roman" w:hAnsi="Times New Roman" w:cs="Times New Roman"/>
          <w:i/>
          <w:sz w:val="24"/>
        </w:rPr>
        <w:t>Джерело: дані Державної казначейської служби України.</w:t>
      </w:r>
    </w:p>
    <w:p w:rsidR="00014A56" w:rsidRPr="00014A56" w:rsidRDefault="00014A56" w:rsidP="00014A56">
      <w:pPr>
        <w:spacing w:after="0" w:line="240" w:lineRule="auto"/>
        <w:ind w:firstLine="567"/>
        <w:jc w:val="both"/>
        <w:rPr>
          <w:rFonts w:ascii="Times New Roman" w:hAnsi="Times New Roman" w:cs="Times New Roman"/>
          <w:sz w:val="24"/>
          <w:szCs w:val="24"/>
          <w:lang w:eastAsia="uk-UA"/>
        </w:rPr>
      </w:pPr>
      <w:r w:rsidRPr="00014A56">
        <w:rPr>
          <w:rFonts w:ascii="Times New Roman" w:hAnsi="Times New Roman" w:cs="Times New Roman"/>
          <w:sz w:val="24"/>
          <w:szCs w:val="24"/>
          <w:lang w:eastAsia="uk-UA"/>
        </w:rPr>
        <w:t>Також у 2021 році втрати ЄСВ від прийняття змін до пенсійного законодавства, зокрема після запровадження з 01.01.2021 змін, внесених Законом України від 13.05.2020 № 592-ІХ «Про внесення змін до Закону України «Про збір та облік єдиного внеску на загальнообов’язкове державне соціальне страхування» щодо усунення дискримінації за колом платників» до Закону від 08.07.2010 № 2464-ІV «Про збір та облік єдиного внеску на загальнообов’язкове державне соціальне страхування» щодо звуження кола платників ЄСВ, за розрахунками Пенсійного фонду становитимуть 7,0 млрд гривень.</w:t>
      </w:r>
    </w:p>
    <w:p w:rsidR="00014A56" w:rsidRPr="00014A56" w:rsidRDefault="00014A56" w:rsidP="00014A56">
      <w:pPr>
        <w:spacing w:after="0" w:line="240" w:lineRule="auto"/>
        <w:ind w:firstLine="567"/>
        <w:jc w:val="both"/>
        <w:rPr>
          <w:rFonts w:ascii="Times New Roman" w:hAnsi="Times New Roman" w:cs="Times New Roman"/>
          <w:sz w:val="24"/>
          <w:szCs w:val="24"/>
          <w:lang w:eastAsia="uk-UA"/>
        </w:rPr>
      </w:pPr>
      <w:r w:rsidRPr="00014A56">
        <w:rPr>
          <w:rFonts w:ascii="Times New Roman" w:hAnsi="Times New Roman" w:cs="Times New Roman"/>
          <w:sz w:val="24"/>
          <w:szCs w:val="24"/>
          <w:lang w:eastAsia="uk-UA"/>
        </w:rPr>
        <w:t>Протягом багатьох років бюджет Пенсійного фонду є дефіцитним. Дефіцит коштів покривається в тому числі за рахунок коштів Державного бюджету України. Так, бюджетом Пенсійного фонду України на 2021 рік (затверджений постановою Кабінету Міністрів України від 17.02.2021 № 126) передбачається покриття дефіциту коштів Пенсійного фонду за рахунок коштів державного бюджету у сумі 21,7 млрд гривень. У 2022 році планується, що Пенсійний фонд також потребуватиме значних бюджетних коштів для покриття дефіциту.</w:t>
      </w:r>
    </w:p>
    <w:p w:rsidR="00014A56" w:rsidRPr="00F801D5" w:rsidRDefault="00014A56" w:rsidP="00014A56">
      <w:pPr>
        <w:spacing w:after="0" w:line="240" w:lineRule="auto"/>
        <w:ind w:firstLine="567"/>
        <w:jc w:val="both"/>
        <w:rPr>
          <w:rFonts w:ascii="Times New Roman" w:eastAsia="Times New Roman" w:hAnsi="Times New Roman" w:cs="Times New Roman"/>
          <w:sz w:val="24"/>
          <w:szCs w:val="24"/>
          <w:lang w:eastAsia="uk-UA"/>
        </w:rPr>
      </w:pPr>
      <w:r w:rsidRPr="00F801D5">
        <w:rPr>
          <w:rFonts w:ascii="Times New Roman" w:eastAsia="Times New Roman" w:hAnsi="Times New Roman" w:cs="Times New Roman"/>
          <w:sz w:val="24"/>
          <w:szCs w:val="24"/>
          <w:lang w:eastAsia="uk-UA"/>
        </w:rPr>
        <w:t xml:space="preserve">Крім того, за інформацією </w:t>
      </w:r>
      <w:r w:rsidR="00D469B6">
        <w:rPr>
          <w:rFonts w:ascii="Times New Roman" w:eastAsia="Times New Roman" w:hAnsi="Times New Roman" w:cs="Times New Roman"/>
          <w:sz w:val="24"/>
          <w:szCs w:val="24"/>
          <w:lang w:eastAsia="uk-UA"/>
        </w:rPr>
        <w:t xml:space="preserve">Пенсійного фонду </w:t>
      </w:r>
      <w:r w:rsidRPr="00F801D5">
        <w:rPr>
          <w:rFonts w:ascii="Times New Roman" w:eastAsia="Times New Roman" w:hAnsi="Times New Roman" w:cs="Times New Roman"/>
          <w:sz w:val="24"/>
          <w:szCs w:val="24"/>
          <w:lang w:eastAsia="uk-UA"/>
        </w:rPr>
        <w:t>України, у сфері пенсійного забезпечення існує висока ймовірність зростання обсягу видатків на пенсійні виплати, зокрема у 2022 році у зв’язку із прийняттям рішення Касаційного адміністративного суду в складі Верховного Суду від 17.12.2019 у зразковій справі № 160/8324/19а, щодо перерахунку пенсій військовослужбовцям з грошового забезпечення, визначеного станом на 05.03.2019, з урахуванням щомісячних додаткових видів грошового забезпечення (надбавки, доплати, підвищення) та премії, а також збереженням відсоткового розміру грошового забезпечення.</w:t>
      </w:r>
    </w:p>
    <w:p w:rsidR="00014A56" w:rsidRPr="00D469B6" w:rsidRDefault="00014A56" w:rsidP="00D469B6">
      <w:pPr>
        <w:tabs>
          <w:tab w:val="left" w:pos="2694"/>
          <w:tab w:val="left" w:pos="13041"/>
        </w:tabs>
        <w:spacing w:after="0" w:line="240" w:lineRule="auto"/>
        <w:ind w:firstLine="567"/>
        <w:jc w:val="both"/>
        <w:rPr>
          <w:rFonts w:ascii="Times New Roman" w:eastAsia="Times New Roman" w:hAnsi="Times New Roman" w:cs="Times New Roman"/>
          <w:sz w:val="24"/>
          <w:szCs w:val="24"/>
          <w:lang w:eastAsia="uk-UA"/>
        </w:rPr>
      </w:pPr>
      <w:r w:rsidRPr="00F801D5">
        <w:rPr>
          <w:rFonts w:ascii="Times New Roman" w:eastAsia="Times New Roman" w:hAnsi="Times New Roman" w:cs="Times New Roman"/>
          <w:sz w:val="24"/>
          <w:szCs w:val="24"/>
          <w:lang w:eastAsia="uk-UA"/>
        </w:rPr>
        <w:t xml:space="preserve">У разі покладення судами на органи Пенсійного фонду зобов’язань провести відповідні перерахунки, потреба в додаткових асигнуваннях з Державного бюджету України для виплати </w:t>
      </w:r>
      <w:r w:rsidRPr="00D469B6">
        <w:rPr>
          <w:rFonts w:ascii="Times New Roman" w:eastAsia="Times New Roman" w:hAnsi="Times New Roman" w:cs="Times New Roman"/>
          <w:sz w:val="24"/>
          <w:szCs w:val="24"/>
          <w:lang w:eastAsia="uk-UA"/>
        </w:rPr>
        <w:t xml:space="preserve">перерахованих пенсій за період з </w:t>
      </w:r>
      <w:r w:rsidR="00D469B6" w:rsidRPr="00D469B6">
        <w:rPr>
          <w:rFonts w:ascii="Times New Roman" w:eastAsia="Times New Roman" w:hAnsi="Times New Roman" w:cs="Times New Roman"/>
          <w:sz w:val="24"/>
          <w:szCs w:val="24"/>
          <w:lang w:eastAsia="uk-UA"/>
        </w:rPr>
        <w:t>квітня 2019 року по грудень 2022</w:t>
      </w:r>
      <w:r w:rsidRPr="00D469B6">
        <w:rPr>
          <w:rFonts w:ascii="Times New Roman" w:eastAsia="Times New Roman" w:hAnsi="Times New Roman" w:cs="Times New Roman"/>
          <w:sz w:val="24"/>
          <w:szCs w:val="24"/>
          <w:lang w:eastAsia="uk-UA"/>
        </w:rPr>
        <w:t xml:space="preserve"> року орієнтовно м</w:t>
      </w:r>
      <w:r w:rsidR="00D469B6" w:rsidRPr="00D469B6">
        <w:rPr>
          <w:rFonts w:ascii="Times New Roman" w:eastAsia="Times New Roman" w:hAnsi="Times New Roman" w:cs="Times New Roman"/>
          <w:sz w:val="24"/>
          <w:szCs w:val="24"/>
          <w:lang w:eastAsia="uk-UA"/>
        </w:rPr>
        <w:t>оже становити 64,6</w:t>
      </w:r>
      <w:r w:rsidR="00D469B6">
        <w:rPr>
          <w:rFonts w:ascii="Times New Roman" w:eastAsia="Times New Roman" w:hAnsi="Times New Roman" w:cs="Times New Roman"/>
          <w:sz w:val="24"/>
          <w:szCs w:val="24"/>
          <w:lang w:eastAsia="uk-UA"/>
        </w:rPr>
        <w:t xml:space="preserve"> млрд грн </w:t>
      </w:r>
      <w:r w:rsidR="00D469B6" w:rsidRPr="00D469B6">
        <w:rPr>
          <w:rFonts w:ascii="Times New Roman" w:hAnsi="Times New Roman" w:cs="Times New Roman"/>
          <w:sz w:val="24"/>
          <w:szCs w:val="24"/>
        </w:rPr>
        <w:t xml:space="preserve">(з урахуванням постанови Кабінету Міністрів України від </w:t>
      </w:r>
      <w:r w:rsidR="00D469B6">
        <w:rPr>
          <w:rFonts w:ascii="Times New Roman" w:hAnsi="Times New Roman" w:cs="Times New Roman"/>
          <w:sz w:val="24"/>
          <w:szCs w:val="24"/>
        </w:rPr>
        <w:t>1</w:t>
      </w:r>
      <w:r w:rsidR="00D469B6" w:rsidRPr="00D469B6">
        <w:rPr>
          <w:rFonts w:ascii="Times New Roman" w:hAnsi="Times New Roman" w:cs="Times New Roman"/>
          <w:sz w:val="24"/>
          <w:szCs w:val="24"/>
        </w:rPr>
        <w:t xml:space="preserve">4.07.2021 </w:t>
      </w:r>
      <w:r w:rsidR="00D469B6">
        <w:rPr>
          <w:rFonts w:ascii="Times New Roman" w:hAnsi="Times New Roman" w:cs="Times New Roman"/>
          <w:sz w:val="24"/>
          <w:szCs w:val="24"/>
        </w:rPr>
        <w:t xml:space="preserve">     </w:t>
      </w:r>
      <w:r w:rsidR="00D469B6" w:rsidRPr="00D469B6">
        <w:rPr>
          <w:rFonts w:ascii="Times New Roman" w:hAnsi="Times New Roman" w:cs="Times New Roman"/>
          <w:sz w:val="24"/>
          <w:szCs w:val="24"/>
        </w:rPr>
        <w:t xml:space="preserve">№ 713 </w:t>
      </w:r>
      <w:r w:rsidR="00D469B6">
        <w:rPr>
          <w:rFonts w:ascii="Times New Roman" w:hAnsi="Times New Roman" w:cs="Times New Roman"/>
          <w:sz w:val="24"/>
          <w:szCs w:val="24"/>
        </w:rPr>
        <w:t>«</w:t>
      </w:r>
      <w:r w:rsidR="00D469B6" w:rsidRPr="00D469B6">
        <w:rPr>
          <w:rFonts w:ascii="Times New Roman" w:hAnsi="Times New Roman" w:cs="Times New Roman"/>
          <w:sz w:val="24"/>
          <w:szCs w:val="24"/>
        </w:rPr>
        <w:t>Про додатковий соціальний захист окремих категорій осіб</w:t>
      </w:r>
      <w:r w:rsidR="00D469B6">
        <w:rPr>
          <w:rFonts w:ascii="Times New Roman" w:hAnsi="Times New Roman" w:cs="Times New Roman"/>
          <w:sz w:val="24"/>
          <w:szCs w:val="24"/>
        </w:rPr>
        <w:t>»</w:t>
      </w:r>
      <w:r w:rsidR="00D469B6" w:rsidRPr="00D469B6">
        <w:rPr>
          <w:rFonts w:ascii="Times New Roman" w:hAnsi="Times New Roman" w:cs="Times New Roman"/>
          <w:sz w:val="24"/>
          <w:szCs w:val="24"/>
        </w:rPr>
        <w:t>).</w:t>
      </w:r>
    </w:p>
    <w:p w:rsidR="00014A56" w:rsidRPr="00014A56" w:rsidRDefault="00014A56" w:rsidP="00D469B6">
      <w:pPr>
        <w:spacing w:after="0" w:line="240" w:lineRule="auto"/>
        <w:ind w:firstLine="567"/>
        <w:jc w:val="both"/>
        <w:rPr>
          <w:rFonts w:ascii="Times New Roman" w:eastAsia="Times New Roman" w:hAnsi="Times New Roman" w:cs="Times New Roman"/>
          <w:sz w:val="24"/>
          <w:szCs w:val="24"/>
          <w:lang w:eastAsia="uk-UA"/>
        </w:rPr>
      </w:pPr>
      <w:r w:rsidRPr="00D469B6">
        <w:rPr>
          <w:rFonts w:ascii="Times New Roman" w:eastAsia="Times New Roman" w:hAnsi="Times New Roman" w:cs="Times New Roman"/>
          <w:sz w:val="24"/>
          <w:szCs w:val="24"/>
          <w:lang w:eastAsia="uk-UA"/>
        </w:rPr>
        <w:t>Також існує ймовірність зростання у 2022 році обсягу видатків на пенсійні виплати</w:t>
      </w:r>
      <w:r w:rsidRPr="00014A56">
        <w:rPr>
          <w:rFonts w:ascii="Times New Roman" w:eastAsia="Times New Roman" w:hAnsi="Times New Roman" w:cs="Times New Roman"/>
          <w:sz w:val="24"/>
          <w:szCs w:val="24"/>
          <w:lang w:eastAsia="uk-UA"/>
        </w:rPr>
        <w:t xml:space="preserve"> внаслідок п</w:t>
      </w:r>
      <w:r w:rsidRPr="00014A56">
        <w:rPr>
          <w:rFonts w:ascii="Times New Roman" w:hAnsi="Times New Roman" w:cs="Times New Roman"/>
          <w:sz w:val="24"/>
          <w:szCs w:val="24"/>
        </w:rPr>
        <w:t>рийняття змін до пенсійного законодавства без визначення ресурсів для їх фінансового забезпечення, а також</w:t>
      </w:r>
      <w:r w:rsidRPr="00014A56">
        <w:rPr>
          <w:rFonts w:ascii="Times New Roman" w:eastAsia="Times New Roman" w:hAnsi="Times New Roman" w:cs="Times New Roman"/>
          <w:sz w:val="24"/>
          <w:szCs w:val="24"/>
          <w:lang w:eastAsia="uk-UA"/>
        </w:rPr>
        <w:t xml:space="preserve"> прийняття законів щодо фінансування невиплачених сум пенсій особам, які проживають у населених пунктах Донецької та Луганської областей, на території яких органи державної влади тимчасово не здійснюють повноваження. Обсяг впливу на показники державного бюджету буде визначатись у разі прийняття таких законодавчих актів.</w:t>
      </w:r>
    </w:p>
    <w:p w:rsidR="00014A56" w:rsidRPr="00014A56" w:rsidRDefault="00014A56" w:rsidP="00014A56">
      <w:pPr>
        <w:spacing w:after="0" w:line="240" w:lineRule="auto"/>
        <w:ind w:firstLine="567"/>
        <w:jc w:val="both"/>
        <w:rPr>
          <w:rFonts w:ascii="Times New Roman" w:eastAsia="Times New Roman" w:hAnsi="Times New Roman" w:cs="Times New Roman"/>
          <w:sz w:val="24"/>
          <w:szCs w:val="24"/>
          <w:lang w:eastAsia="uk-UA"/>
        </w:rPr>
      </w:pPr>
      <w:r w:rsidRPr="00014A56">
        <w:rPr>
          <w:rFonts w:ascii="Times New Roman" w:eastAsia="Times New Roman" w:hAnsi="Times New Roman" w:cs="Times New Roman"/>
          <w:sz w:val="24"/>
          <w:szCs w:val="24"/>
          <w:lang w:eastAsia="uk-UA"/>
        </w:rPr>
        <w:t xml:space="preserve">Ратифікація Угоди між Україною та Федеративною Республікою Німеччина та Державою Ізраїль щодо пенсійного забезпечення потребуватиме додаткових витрат Пенсійного фонду у сумі  2,0 млрд грн та </w:t>
      </w:r>
      <w:r w:rsidR="006B42CE">
        <w:rPr>
          <w:rFonts w:ascii="Times New Roman" w:eastAsia="Times New Roman" w:hAnsi="Times New Roman" w:cs="Times New Roman"/>
          <w:sz w:val="24"/>
          <w:szCs w:val="24"/>
          <w:lang w:eastAsia="uk-UA"/>
        </w:rPr>
        <w:t>8,6</w:t>
      </w:r>
      <w:r w:rsidRPr="00014A56">
        <w:rPr>
          <w:rFonts w:ascii="Times New Roman" w:eastAsia="Times New Roman" w:hAnsi="Times New Roman" w:cs="Times New Roman"/>
          <w:sz w:val="24"/>
          <w:szCs w:val="24"/>
          <w:lang w:eastAsia="uk-UA"/>
        </w:rPr>
        <w:t xml:space="preserve"> млрд грн відповідно.</w:t>
      </w:r>
    </w:p>
    <w:p w:rsidR="00014A56" w:rsidRPr="00014A56" w:rsidRDefault="00014A56" w:rsidP="00014A56">
      <w:pPr>
        <w:spacing w:before="120" w:after="0" w:line="240" w:lineRule="auto"/>
        <w:ind w:firstLine="567"/>
        <w:jc w:val="both"/>
        <w:rPr>
          <w:rFonts w:ascii="Times New Roman" w:eastAsia="Times New Roman" w:hAnsi="Times New Roman" w:cs="Times New Roman"/>
          <w:bCs/>
          <w:sz w:val="24"/>
          <w:szCs w:val="24"/>
          <w:lang w:eastAsia="uk-UA"/>
        </w:rPr>
      </w:pPr>
      <w:r w:rsidRPr="00014A56">
        <w:rPr>
          <w:rFonts w:ascii="Times New Roman" w:eastAsia="Times New Roman" w:hAnsi="Times New Roman" w:cs="Times New Roman"/>
          <w:bCs/>
          <w:sz w:val="24"/>
          <w:szCs w:val="24"/>
          <w:lang w:eastAsia="uk-UA"/>
        </w:rPr>
        <w:t>Для зменшення впливу на показники державного бюджету фіскальних ризиків, пов’язаних із відхиленням від планових показників у сфері пенсійного забезпечення, є необхідним:</w:t>
      </w:r>
    </w:p>
    <w:p w:rsidR="00014A56" w:rsidRPr="00014A56" w:rsidRDefault="00014A56" w:rsidP="00014A56">
      <w:pPr>
        <w:pStyle w:val="a4"/>
        <w:numPr>
          <w:ilvl w:val="0"/>
          <w:numId w:val="20"/>
        </w:numPr>
        <w:tabs>
          <w:tab w:val="left" w:pos="709"/>
        </w:tabs>
        <w:spacing w:after="0" w:line="240" w:lineRule="auto"/>
        <w:ind w:left="0" w:firstLine="567"/>
        <w:jc w:val="both"/>
        <w:rPr>
          <w:rFonts w:ascii="Times New Roman" w:eastAsia="Times New Roman" w:hAnsi="Times New Roman" w:cs="Times New Roman"/>
          <w:bCs/>
          <w:sz w:val="24"/>
          <w:szCs w:val="24"/>
          <w:lang w:eastAsia="uk-UA"/>
        </w:rPr>
      </w:pPr>
      <w:r w:rsidRPr="00014A56">
        <w:rPr>
          <w:rFonts w:ascii="Times New Roman" w:eastAsia="Times New Roman" w:hAnsi="Times New Roman" w:cs="Times New Roman"/>
          <w:sz w:val="24"/>
          <w:szCs w:val="24"/>
          <w:lang w:eastAsia="uk-UA"/>
        </w:rPr>
        <w:t>недопущення нарощування заборгованості зі сплати ЄСВ та погашення наявного боргу;</w:t>
      </w:r>
    </w:p>
    <w:p w:rsidR="00014A56" w:rsidRPr="00014A56" w:rsidRDefault="00014A56" w:rsidP="00014A56">
      <w:pPr>
        <w:pStyle w:val="a4"/>
        <w:numPr>
          <w:ilvl w:val="0"/>
          <w:numId w:val="20"/>
        </w:numPr>
        <w:tabs>
          <w:tab w:val="left" w:pos="709"/>
        </w:tabs>
        <w:spacing w:after="0" w:line="240" w:lineRule="auto"/>
        <w:ind w:left="0" w:firstLine="567"/>
        <w:jc w:val="both"/>
        <w:rPr>
          <w:rFonts w:ascii="Times New Roman" w:eastAsia="Times New Roman" w:hAnsi="Times New Roman" w:cs="Times New Roman"/>
          <w:bCs/>
          <w:sz w:val="24"/>
          <w:szCs w:val="24"/>
          <w:lang w:eastAsia="uk-UA"/>
        </w:rPr>
      </w:pPr>
      <w:r w:rsidRPr="00014A56">
        <w:rPr>
          <w:rFonts w:ascii="Times New Roman" w:eastAsia="Times New Roman" w:hAnsi="Times New Roman" w:cs="Times New Roman"/>
          <w:sz w:val="24"/>
          <w:szCs w:val="24"/>
          <w:lang w:eastAsia="uk-UA"/>
        </w:rPr>
        <w:t xml:space="preserve">розроблення </w:t>
      </w:r>
      <w:r w:rsidRPr="00014A56">
        <w:rPr>
          <w:rFonts w:ascii="Times New Roman" w:hAnsi="Times New Roman" w:cs="Times New Roman"/>
          <w:sz w:val="24"/>
          <w:szCs w:val="24"/>
        </w:rPr>
        <w:t>на середньострокову перспективу плану заходів зі зменшення дефіциту бюджету Пенсійного фонду;</w:t>
      </w:r>
    </w:p>
    <w:p w:rsidR="00014A56" w:rsidRPr="00014A56" w:rsidRDefault="00014A56" w:rsidP="00014A56">
      <w:pPr>
        <w:pStyle w:val="a4"/>
        <w:numPr>
          <w:ilvl w:val="0"/>
          <w:numId w:val="20"/>
        </w:numPr>
        <w:tabs>
          <w:tab w:val="left" w:pos="709"/>
        </w:tabs>
        <w:spacing w:after="0" w:line="240" w:lineRule="auto"/>
        <w:ind w:left="0" w:firstLine="567"/>
        <w:jc w:val="both"/>
        <w:rPr>
          <w:rFonts w:ascii="Times New Roman" w:eastAsia="Times New Roman" w:hAnsi="Times New Roman" w:cs="Times New Roman"/>
          <w:bCs/>
          <w:sz w:val="24"/>
          <w:szCs w:val="24"/>
          <w:lang w:eastAsia="uk-UA"/>
        </w:rPr>
      </w:pPr>
      <w:r w:rsidRPr="00014A56">
        <w:rPr>
          <w:rFonts w:ascii="Times New Roman" w:eastAsia="Times New Roman" w:hAnsi="Times New Roman" w:cs="Times New Roman"/>
          <w:sz w:val="24"/>
          <w:szCs w:val="24"/>
          <w:lang w:eastAsia="uk-UA"/>
        </w:rPr>
        <w:t xml:space="preserve">погашення одержаних Пенсійним фондом позик, наданих з ЄКР </w:t>
      </w:r>
      <w:r w:rsidRPr="00014A56">
        <w:rPr>
          <w:rFonts w:ascii="Times New Roman" w:eastAsia="Times New Roman" w:hAnsi="Times New Roman" w:cs="Times New Roman"/>
          <w:bCs/>
          <w:sz w:val="24"/>
          <w:szCs w:val="24"/>
          <w:lang w:eastAsia="uk-UA"/>
        </w:rPr>
        <w:t>на покриття тимчасових касових розривів</w:t>
      </w:r>
      <w:r w:rsidRPr="00014A56">
        <w:rPr>
          <w:rFonts w:ascii="Times New Roman" w:eastAsia="Times New Roman" w:hAnsi="Times New Roman" w:cs="Times New Roman"/>
          <w:sz w:val="24"/>
          <w:szCs w:val="24"/>
          <w:lang w:eastAsia="uk-UA"/>
        </w:rPr>
        <w:t>, до кінця бюджетного періоду, в якому вказані позики було надано;</w:t>
      </w:r>
    </w:p>
    <w:p w:rsidR="00014A56" w:rsidRPr="00014A56" w:rsidRDefault="00014A56" w:rsidP="00014A56">
      <w:pPr>
        <w:pStyle w:val="a4"/>
        <w:numPr>
          <w:ilvl w:val="0"/>
          <w:numId w:val="20"/>
        </w:numPr>
        <w:tabs>
          <w:tab w:val="left" w:pos="709"/>
        </w:tabs>
        <w:spacing w:after="0" w:line="240" w:lineRule="auto"/>
        <w:ind w:left="0" w:firstLine="567"/>
        <w:jc w:val="both"/>
        <w:rPr>
          <w:rFonts w:ascii="Times New Roman" w:eastAsia="Times New Roman" w:hAnsi="Times New Roman" w:cs="Times New Roman"/>
          <w:bCs/>
          <w:sz w:val="24"/>
          <w:szCs w:val="24"/>
          <w:lang w:eastAsia="uk-UA"/>
        </w:rPr>
      </w:pPr>
      <w:r w:rsidRPr="00014A56">
        <w:rPr>
          <w:rFonts w:ascii="Times New Roman" w:eastAsia="Times New Roman" w:hAnsi="Times New Roman" w:cs="Times New Roman"/>
          <w:sz w:val="24"/>
          <w:szCs w:val="24"/>
          <w:lang w:eastAsia="uk-UA"/>
        </w:rPr>
        <w:t>продовження роботи щодо детінізації заробітної плати Державною податковою службою, Пенсійним фондом України та Державною службою України з питань праці з метою запобігання ухилення від сплати єдиного внеску на загальнообов’язкове державне соціальне страхування та збільшення чисельності найманих працівників;</w:t>
      </w:r>
    </w:p>
    <w:p w:rsidR="00014A56" w:rsidRPr="00014A56" w:rsidRDefault="00014A56" w:rsidP="00014A56">
      <w:pPr>
        <w:pStyle w:val="a4"/>
        <w:numPr>
          <w:ilvl w:val="0"/>
          <w:numId w:val="20"/>
        </w:numPr>
        <w:tabs>
          <w:tab w:val="left" w:pos="709"/>
        </w:tabs>
        <w:spacing w:after="0" w:line="240" w:lineRule="auto"/>
        <w:ind w:left="0" w:firstLine="567"/>
        <w:jc w:val="both"/>
        <w:rPr>
          <w:rFonts w:ascii="Times New Roman" w:eastAsia="Times New Roman" w:hAnsi="Times New Roman" w:cs="Times New Roman"/>
          <w:bCs/>
          <w:sz w:val="24"/>
          <w:szCs w:val="24"/>
          <w:lang w:eastAsia="uk-UA"/>
        </w:rPr>
      </w:pPr>
      <w:r w:rsidRPr="00014A56">
        <w:rPr>
          <w:rFonts w:ascii="Times New Roman" w:eastAsia="Times New Roman" w:hAnsi="Times New Roman" w:cs="Times New Roman"/>
          <w:bCs/>
          <w:sz w:val="24"/>
          <w:szCs w:val="24"/>
          <w:lang w:eastAsia="uk-UA"/>
        </w:rPr>
        <w:t>прийняття змін до пенсійного законодавства лише у разі наявності ресурсів для їх фінансового забезпечення;</w:t>
      </w:r>
    </w:p>
    <w:p w:rsidR="00014A56" w:rsidRPr="00014A56" w:rsidRDefault="00014A56" w:rsidP="00014A56">
      <w:pPr>
        <w:pStyle w:val="a4"/>
        <w:numPr>
          <w:ilvl w:val="0"/>
          <w:numId w:val="20"/>
        </w:numPr>
        <w:tabs>
          <w:tab w:val="left" w:pos="709"/>
        </w:tabs>
        <w:spacing w:after="0" w:line="240" w:lineRule="auto"/>
        <w:ind w:left="0" w:firstLine="567"/>
        <w:jc w:val="both"/>
        <w:rPr>
          <w:rFonts w:ascii="Times New Roman" w:eastAsia="Times New Roman" w:hAnsi="Times New Roman" w:cs="Times New Roman"/>
          <w:bCs/>
          <w:sz w:val="24"/>
          <w:szCs w:val="24"/>
          <w:lang w:eastAsia="uk-UA"/>
        </w:rPr>
      </w:pPr>
      <w:r w:rsidRPr="00014A56">
        <w:rPr>
          <w:rFonts w:ascii="Times New Roman" w:eastAsia="Times New Roman" w:hAnsi="Times New Roman" w:cs="Times New Roman"/>
          <w:bCs/>
          <w:sz w:val="24"/>
          <w:szCs w:val="24"/>
          <w:lang w:eastAsia="uk-UA"/>
        </w:rPr>
        <w:t xml:space="preserve">здійснення відстеження стану розгляду справ і контролю механізму погашення заборгованості з пенсійних виплат за рішеннями судів; </w:t>
      </w:r>
    </w:p>
    <w:p w:rsidR="00014A56" w:rsidRPr="00014A56" w:rsidRDefault="00014A56" w:rsidP="00014A56">
      <w:pPr>
        <w:pStyle w:val="a4"/>
        <w:numPr>
          <w:ilvl w:val="0"/>
          <w:numId w:val="20"/>
        </w:numPr>
        <w:tabs>
          <w:tab w:val="left" w:pos="709"/>
        </w:tabs>
        <w:spacing w:after="0" w:line="240" w:lineRule="auto"/>
        <w:ind w:left="0" w:firstLine="567"/>
        <w:jc w:val="both"/>
        <w:rPr>
          <w:rFonts w:ascii="Times New Roman" w:eastAsia="Times New Roman" w:hAnsi="Times New Roman" w:cs="Times New Roman"/>
          <w:bCs/>
          <w:sz w:val="24"/>
          <w:szCs w:val="24"/>
          <w:lang w:eastAsia="uk-UA"/>
        </w:rPr>
      </w:pPr>
      <w:r w:rsidRPr="00014A56">
        <w:rPr>
          <w:rFonts w:ascii="Times New Roman" w:eastAsia="Times New Roman" w:hAnsi="Times New Roman" w:cs="Times New Roman"/>
          <w:bCs/>
          <w:sz w:val="24"/>
          <w:szCs w:val="24"/>
          <w:lang w:eastAsia="uk-UA"/>
        </w:rPr>
        <w:t xml:space="preserve">продовження реформи пенсійної системи з урахуванням довгострокових демографічних прогнозів та майбутнього навантаження пенсійних виплат на державні фінанси. </w:t>
      </w:r>
    </w:p>
    <w:p w:rsidR="00014A56" w:rsidRPr="00594FDE" w:rsidRDefault="00014A56" w:rsidP="00014A56">
      <w:pPr>
        <w:pStyle w:val="1"/>
        <w:spacing w:after="120" w:line="264" w:lineRule="auto"/>
        <w:jc w:val="center"/>
        <w:rPr>
          <w:b/>
          <w:sz w:val="28"/>
        </w:rPr>
      </w:pPr>
      <w:bookmarkStart w:id="8" w:name="_Toc82168989"/>
      <w:r w:rsidRPr="009A2B5C">
        <w:rPr>
          <w:b/>
          <w:sz w:val="28"/>
        </w:rPr>
        <w:t xml:space="preserve">ФІСКАЛЬНІ РИЗИКИ, ПОВ’ЯЗАНІ ІЗ ФУНКЦІОНУВАННЯМ </w:t>
      </w:r>
      <w:r w:rsidRPr="009A2B5C">
        <w:rPr>
          <w:b/>
          <w:sz w:val="28"/>
        </w:rPr>
        <w:br/>
        <w:t>ФІНАНСОВОГО СЕКТОРУ</w:t>
      </w:r>
      <w:bookmarkEnd w:id="8"/>
    </w:p>
    <w:p w:rsidR="00014A56" w:rsidRPr="00014A56" w:rsidRDefault="00014A56" w:rsidP="00014A56">
      <w:pPr>
        <w:autoSpaceDE w:val="0"/>
        <w:autoSpaceDN w:val="0"/>
        <w:adjustRightInd w:val="0"/>
        <w:spacing w:after="0" w:line="240" w:lineRule="auto"/>
        <w:ind w:firstLine="567"/>
        <w:jc w:val="both"/>
        <w:rPr>
          <w:rFonts w:ascii="Times New Roman" w:eastAsia="Calibri" w:hAnsi="Times New Roman" w:cs="Segoe UI"/>
          <w:sz w:val="24"/>
          <w:szCs w:val="24"/>
        </w:rPr>
      </w:pPr>
      <w:r w:rsidRPr="00014A56">
        <w:rPr>
          <w:rFonts w:ascii="Times New Roman" w:eastAsia="Calibri" w:hAnsi="Times New Roman" w:cs="Segoe UI"/>
          <w:sz w:val="24"/>
          <w:szCs w:val="24"/>
        </w:rPr>
        <w:t xml:space="preserve">За інформацією Національного банку України у 2020 році реалізувався один фіскальний ризик (попередньо ідентифікований), пов’язаний із функціонуванням фінансового сектору – </w:t>
      </w:r>
      <w:proofErr w:type="spellStart"/>
      <w:r w:rsidRPr="00014A56">
        <w:rPr>
          <w:rFonts w:ascii="Times New Roman" w:eastAsia="Calibri" w:hAnsi="Times New Roman" w:cs="Segoe UI"/>
          <w:sz w:val="24"/>
          <w:szCs w:val="24"/>
        </w:rPr>
        <w:t>докапіталізація</w:t>
      </w:r>
      <w:proofErr w:type="spellEnd"/>
      <w:r w:rsidRPr="00014A56">
        <w:rPr>
          <w:rFonts w:ascii="Times New Roman" w:eastAsia="Calibri" w:hAnsi="Times New Roman" w:cs="Segoe UI"/>
          <w:sz w:val="24"/>
          <w:szCs w:val="24"/>
        </w:rPr>
        <w:t xml:space="preserve"> АТ «Укрексімбанк» на суму 6,84 млрд гривень (рішення Уряду від 23.09.2020 </w:t>
      </w:r>
      <w:r w:rsidRPr="00014A56">
        <w:rPr>
          <w:rFonts w:ascii="Times New Roman" w:eastAsia="Calibri" w:hAnsi="Times New Roman" w:cs="Segoe UI"/>
          <w:sz w:val="24"/>
          <w:szCs w:val="24"/>
        </w:rPr>
        <w:br/>
        <w:t xml:space="preserve">№ 881 «Про збільшення статутного капіталу акціонерного товариства «Державний експортно- імпортний банк України»). Так, два роки поспіль за результатами стрес-тесту АТ «Укрексімбанк» мав потребу у капіталі за несприятливим сценарієм. Проведене в 2020 році експрес </w:t>
      </w:r>
      <w:r w:rsidRPr="00014A56">
        <w:rPr>
          <w:rFonts w:ascii="Times New Roman" w:eastAsia="Calibri" w:hAnsi="Times New Roman" w:cs="Segoe UI"/>
          <w:sz w:val="24"/>
          <w:szCs w:val="24"/>
        </w:rPr>
        <w:br/>
        <w:t>стрес-тестування підтвердило попередні висновки. Сукупна потреба у капіталі була меншою, у порівнянні з висновками стрес-тестування 2019 року. Цього вдалось досягти за рахунок вжитих банком заходів з підвищення стійкості.</w:t>
      </w:r>
    </w:p>
    <w:p w:rsidR="00014A56" w:rsidRPr="00014A56" w:rsidRDefault="00014A56" w:rsidP="00014A56">
      <w:pPr>
        <w:tabs>
          <w:tab w:val="left" w:pos="993"/>
        </w:tabs>
        <w:autoSpaceDE w:val="0"/>
        <w:autoSpaceDN w:val="0"/>
        <w:adjustRightInd w:val="0"/>
        <w:spacing w:after="0" w:line="240" w:lineRule="auto"/>
        <w:ind w:firstLine="567"/>
        <w:jc w:val="both"/>
        <w:rPr>
          <w:rFonts w:ascii="Times New Roman" w:eastAsia="Calibri" w:hAnsi="Times New Roman" w:cs="Segoe UI"/>
          <w:sz w:val="24"/>
          <w:szCs w:val="24"/>
        </w:rPr>
      </w:pPr>
      <w:r w:rsidRPr="00014A56">
        <w:rPr>
          <w:rFonts w:ascii="Times New Roman" w:eastAsia="Calibri" w:hAnsi="Times New Roman" w:cs="Segoe UI"/>
          <w:sz w:val="24"/>
          <w:szCs w:val="24"/>
        </w:rPr>
        <w:t>У «Звіті про фінансову стабільність» за червень 2021 року, який був підготовлений  Національним банком України, зазначається, що фінансова система залишається стійкою до впливу кризи та високоприбутковою. Висока увага банків до якості портфелів до та під час кризи, своєчасна реструктуризація кредитів боржників, які зазнали труднощів, дали змогу пройти кризовий період без значних втрат для фінансового сектору. Наявну ліквідність і запас капіталу банки все активніше використовують для кредитування, темпи якого помітно прискорилися в 2021 році. Добрий стан банківського сектору та відновлення економіки дають змогу Національному банку поступово згортати антикризові заходи, зокрема довгострокове рефінансування. Крім того, збереження високої прибутковості уможливлює заплановане впровадження нових регуляторних вимог, перш за все до капіталу банків.</w:t>
      </w:r>
    </w:p>
    <w:p w:rsidR="00014A56" w:rsidRPr="00014A56" w:rsidRDefault="00014A56" w:rsidP="00014A56">
      <w:pPr>
        <w:tabs>
          <w:tab w:val="left" w:pos="993"/>
        </w:tabs>
        <w:autoSpaceDE w:val="0"/>
        <w:autoSpaceDN w:val="0"/>
        <w:adjustRightInd w:val="0"/>
        <w:spacing w:after="0" w:line="240" w:lineRule="auto"/>
        <w:ind w:firstLine="567"/>
        <w:jc w:val="both"/>
        <w:rPr>
          <w:rFonts w:ascii="Times New Roman" w:eastAsia="Calibri" w:hAnsi="Times New Roman" w:cs="Segoe UI"/>
          <w:sz w:val="24"/>
          <w:szCs w:val="24"/>
        </w:rPr>
      </w:pPr>
      <w:r w:rsidRPr="00014A56">
        <w:rPr>
          <w:rFonts w:ascii="Times New Roman" w:eastAsia="Calibri" w:hAnsi="Times New Roman" w:cs="Segoe UI"/>
          <w:sz w:val="24"/>
          <w:szCs w:val="24"/>
        </w:rPr>
        <w:t xml:space="preserve">Разом з тим, за інформацією Національного банку у 2021 році, існує помірна імовірність настання фіскального ризику, пов’язаного із прийняттям несприятливих для держави судових рішень щодо законності націоналізації </w:t>
      </w:r>
      <w:r w:rsidRPr="00014A56">
        <w:rPr>
          <w:rFonts w:ascii="Times New Roman" w:eastAsia="Calibri" w:hAnsi="Times New Roman" w:cs="Times New Roman"/>
          <w:sz w:val="24"/>
          <w:szCs w:val="24"/>
        </w:rPr>
        <w:t>АТ КБ «ПриватБанк»</w:t>
      </w:r>
      <w:r w:rsidRPr="00014A56">
        <w:rPr>
          <w:rFonts w:ascii="Times New Roman" w:eastAsia="Calibri" w:hAnsi="Times New Roman" w:cs="Segoe UI"/>
          <w:sz w:val="24"/>
          <w:szCs w:val="24"/>
        </w:rPr>
        <w:t>. У разі матеріалізації такого фіскального ризику, вартісна оцінка можливого впливу на державний бюджет може становити від 50 млрд грн і більше.</w:t>
      </w:r>
    </w:p>
    <w:p w:rsidR="00014A56" w:rsidRPr="00014A56" w:rsidRDefault="00014A56" w:rsidP="00014A56">
      <w:pPr>
        <w:tabs>
          <w:tab w:val="left" w:pos="993"/>
        </w:tabs>
        <w:autoSpaceDE w:val="0"/>
        <w:autoSpaceDN w:val="0"/>
        <w:adjustRightInd w:val="0"/>
        <w:spacing w:after="0" w:line="240" w:lineRule="auto"/>
        <w:ind w:firstLine="567"/>
        <w:jc w:val="both"/>
        <w:rPr>
          <w:rFonts w:ascii="Times New Roman" w:eastAsia="Calibri" w:hAnsi="Times New Roman" w:cs="Segoe UI"/>
          <w:sz w:val="24"/>
          <w:szCs w:val="24"/>
        </w:rPr>
      </w:pPr>
      <w:r w:rsidRPr="00014A56">
        <w:rPr>
          <w:rFonts w:ascii="Times New Roman" w:eastAsia="Calibri" w:hAnsi="Times New Roman" w:cs="Segoe UI"/>
          <w:sz w:val="24"/>
          <w:szCs w:val="24"/>
        </w:rPr>
        <w:t>Верховна Рада України 13.05.2020 прийняла Закон України № 590-</w:t>
      </w:r>
      <w:r w:rsidRPr="00014A56">
        <w:rPr>
          <w:rFonts w:ascii="Times New Roman" w:eastAsia="Calibri" w:hAnsi="Times New Roman" w:cs="Segoe UI"/>
          <w:sz w:val="24"/>
          <w:szCs w:val="24"/>
          <w:lang w:val="en-US"/>
        </w:rPr>
        <w:t>IX</w:t>
      </w:r>
      <w:r w:rsidRPr="00014A56">
        <w:rPr>
          <w:rFonts w:ascii="Times New Roman" w:eastAsia="Calibri" w:hAnsi="Times New Roman" w:cs="Segoe UI"/>
          <w:sz w:val="24"/>
          <w:szCs w:val="24"/>
        </w:rPr>
        <w:t xml:space="preserve"> «Про внесення змін до деяких законодавчих актів України щодо удосконалення механізмів регулювання банківської діяльності», який унормовує суперечливі питання виведення банків з ринку та дозволить завершити процедури виведення/ліквідації тих банків, рішення по яких скасовані судами.</w:t>
      </w:r>
    </w:p>
    <w:p w:rsidR="00014A56" w:rsidRPr="00014A56" w:rsidRDefault="00014A56" w:rsidP="00014A56">
      <w:pPr>
        <w:autoSpaceDE w:val="0"/>
        <w:autoSpaceDN w:val="0"/>
        <w:adjustRightInd w:val="0"/>
        <w:spacing w:after="0" w:line="240" w:lineRule="auto"/>
        <w:ind w:firstLine="567"/>
        <w:jc w:val="both"/>
        <w:rPr>
          <w:rFonts w:ascii="Times New Roman" w:eastAsia="Calibri" w:hAnsi="Times New Roman" w:cs="Segoe UI"/>
          <w:sz w:val="24"/>
          <w:szCs w:val="24"/>
        </w:rPr>
      </w:pPr>
      <w:r w:rsidRPr="00014A56">
        <w:rPr>
          <w:rFonts w:ascii="Times New Roman" w:eastAsia="Calibri" w:hAnsi="Times New Roman" w:cs="Segoe UI"/>
          <w:sz w:val="24"/>
          <w:szCs w:val="24"/>
        </w:rPr>
        <w:t xml:space="preserve">У травні 2021 року банк Англії визнав процедуру </w:t>
      </w:r>
      <w:r w:rsidRPr="00014A56">
        <w:rPr>
          <w:rFonts w:ascii="Times New Roman" w:eastAsia="Calibri" w:hAnsi="Times New Roman" w:cs="Segoe UI"/>
          <w:sz w:val="24"/>
          <w:szCs w:val="24"/>
          <w:lang w:val="en-US"/>
        </w:rPr>
        <w:t>bail</w:t>
      </w:r>
      <w:r w:rsidRPr="00014A56">
        <w:rPr>
          <w:rFonts w:ascii="Times New Roman" w:eastAsia="Calibri" w:hAnsi="Times New Roman" w:cs="Segoe UI"/>
          <w:sz w:val="24"/>
          <w:szCs w:val="24"/>
        </w:rPr>
        <w:t>-</w:t>
      </w:r>
      <w:r w:rsidRPr="00014A56">
        <w:rPr>
          <w:rFonts w:ascii="Times New Roman" w:eastAsia="Calibri" w:hAnsi="Times New Roman" w:cs="Segoe UI"/>
          <w:sz w:val="24"/>
          <w:szCs w:val="24"/>
          <w:lang w:val="en-US"/>
        </w:rPr>
        <w:t>in</w:t>
      </w:r>
      <w:r w:rsidRPr="00014A56">
        <w:rPr>
          <w:rFonts w:ascii="Times New Roman" w:eastAsia="Calibri" w:hAnsi="Times New Roman" w:cs="Segoe UI"/>
          <w:sz w:val="24"/>
          <w:szCs w:val="24"/>
        </w:rPr>
        <w:t xml:space="preserve">, проведену під час націоналізації АТ КБ «ПриватБанк», такою, що відповідає законодавству. Це знизило ризики ухвалення несприятливих для держави судових рішень стосовно </w:t>
      </w:r>
      <w:proofErr w:type="spellStart"/>
      <w:r w:rsidRPr="00014A56">
        <w:rPr>
          <w:rFonts w:ascii="Times New Roman" w:eastAsia="Calibri" w:hAnsi="Times New Roman" w:cs="Segoe UI"/>
          <w:sz w:val="24"/>
          <w:szCs w:val="24"/>
        </w:rPr>
        <w:t>зобов</w:t>
      </w:r>
      <w:proofErr w:type="spellEnd"/>
      <w:r w:rsidRPr="00014A56">
        <w:rPr>
          <w:rFonts w:ascii="Times New Roman" w:eastAsia="Calibri" w:hAnsi="Times New Roman" w:cs="Segoe UI"/>
          <w:sz w:val="24"/>
          <w:szCs w:val="24"/>
          <w:lang w:val="ru-RU"/>
        </w:rPr>
        <w:t>’</w:t>
      </w:r>
      <w:proofErr w:type="spellStart"/>
      <w:r w:rsidRPr="00014A56">
        <w:rPr>
          <w:rFonts w:ascii="Times New Roman" w:eastAsia="Calibri" w:hAnsi="Times New Roman" w:cs="Segoe UI"/>
          <w:sz w:val="24"/>
          <w:szCs w:val="24"/>
        </w:rPr>
        <w:t>язань</w:t>
      </w:r>
      <w:proofErr w:type="spellEnd"/>
      <w:r w:rsidRPr="00014A56">
        <w:rPr>
          <w:rFonts w:ascii="Times New Roman" w:eastAsia="Calibri" w:hAnsi="Times New Roman" w:cs="Segoe UI"/>
          <w:sz w:val="24"/>
          <w:szCs w:val="24"/>
        </w:rPr>
        <w:t>, що були конвертовані у капітал в процесі націоналізації.</w:t>
      </w:r>
    </w:p>
    <w:p w:rsidR="00014A56" w:rsidRPr="00014A56" w:rsidRDefault="00014A56" w:rsidP="00014A56">
      <w:pPr>
        <w:autoSpaceDE w:val="0"/>
        <w:autoSpaceDN w:val="0"/>
        <w:adjustRightInd w:val="0"/>
        <w:spacing w:after="0" w:line="240" w:lineRule="auto"/>
        <w:ind w:firstLine="567"/>
        <w:jc w:val="both"/>
        <w:rPr>
          <w:rFonts w:ascii="Times New Roman" w:eastAsia="Calibri" w:hAnsi="Times New Roman" w:cs="Segoe UI"/>
          <w:sz w:val="24"/>
          <w:szCs w:val="24"/>
        </w:rPr>
      </w:pPr>
      <w:r w:rsidRPr="00014A56">
        <w:rPr>
          <w:rFonts w:ascii="Times New Roman" w:eastAsia="Calibri" w:hAnsi="Times New Roman" w:cs="Segoe UI"/>
          <w:sz w:val="24"/>
          <w:szCs w:val="24"/>
        </w:rPr>
        <w:t xml:space="preserve">У третьому кварталі 2021 року Національний банк завершить щорічне стрес-тестування банків. За його підсумками можливе уточнення оцінок стосовно фіскальних ризиків фінансового сектору. Наразі державні банки не потребують </w:t>
      </w:r>
      <w:proofErr w:type="spellStart"/>
      <w:r w:rsidRPr="00014A56">
        <w:rPr>
          <w:rFonts w:ascii="Times New Roman" w:eastAsia="Calibri" w:hAnsi="Times New Roman" w:cs="Segoe UI"/>
          <w:sz w:val="24"/>
          <w:szCs w:val="24"/>
        </w:rPr>
        <w:t>докапіталізації</w:t>
      </w:r>
      <w:proofErr w:type="spellEnd"/>
      <w:r w:rsidRPr="00014A56">
        <w:rPr>
          <w:rFonts w:ascii="Times New Roman" w:eastAsia="Calibri" w:hAnsi="Times New Roman" w:cs="Segoe UI"/>
          <w:sz w:val="24"/>
          <w:szCs w:val="24"/>
        </w:rPr>
        <w:t>. Для зменшення подібних ризиків у майбутньому варто продовжити реалізацію стратегії державних банків та заходи з підвищення їх стійкості.</w:t>
      </w:r>
    </w:p>
    <w:p w:rsidR="00014A56" w:rsidRPr="00014A56" w:rsidRDefault="00014A56" w:rsidP="00014A56">
      <w:pPr>
        <w:autoSpaceDE w:val="0"/>
        <w:autoSpaceDN w:val="0"/>
        <w:adjustRightInd w:val="0"/>
        <w:spacing w:after="0" w:line="240" w:lineRule="auto"/>
        <w:ind w:firstLine="567"/>
        <w:jc w:val="both"/>
        <w:rPr>
          <w:rFonts w:ascii="Times New Roman" w:eastAsia="Calibri" w:hAnsi="Times New Roman" w:cs="Segoe UI"/>
          <w:sz w:val="24"/>
          <w:szCs w:val="24"/>
        </w:rPr>
      </w:pPr>
      <w:r w:rsidRPr="00014A56">
        <w:rPr>
          <w:rFonts w:ascii="Times New Roman" w:eastAsia="Calibri" w:hAnsi="Times New Roman" w:cs="Segoe UI"/>
          <w:sz w:val="24"/>
          <w:szCs w:val="24"/>
        </w:rPr>
        <w:t xml:space="preserve">За інформацією Національного банку України у 2022 році, існує висока імовірність виникнення фіскальних ризиків, пов’язаних із зниженням можливостей сплати до державного бюджету дивідендів державними банками у зв’язку зі зростанням вимог до капіталу. </w:t>
      </w:r>
    </w:p>
    <w:p w:rsidR="00014A56" w:rsidRPr="00014A56" w:rsidRDefault="00014A56" w:rsidP="00014A56">
      <w:pPr>
        <w:pStyle w:val="Default"/>
        <w:ind w:firstLine="567"/>
        <w:jc w:val="both"/>
        <w:rPr>
          <w:rFonts w:ascii="Times New Roman" w:hAnsi="Times New Roman" w:cs="Times New Roman"/>
          <w:color w:val="auto"/>
        </w:rPr>
      </w:pPr>
      <w:r w:rsidRPr="00014A56">
        <w:rPr>
          <w:rFonts w:ascii="Times New Roman" w:eastAsia="Calibri" w:hAnsi="Times New Roman"/>
          <w:color w:val="auto"/>
        </w:rPr>
        <w:t xml:space="preserve">Так, </w:t>
      </w:r>
      <w:r w:rsidRPr="00014A56">
        <w:rPr>
          <w:rFonts w:ascii="Times New Roman" w:hAnsi="Times New Roman" w:cs="Times New Roman"/>
          <w:color w:val="auto"/>
        </w:rPr>
        <w:t xml:space="preserve">передбачалось, що протягом 2020 – 2023 років банки за рахунок інструментів основного капіталу сформують буфер консервації капіталу (з 01.01.2020 – 0,625%, з 01.01.2021 – 1,25%, з 01.01.2022 – 1,875%, з 01.01.2023 – 2,5%) та буфер системної важливості (з 01.01.2021 він мав становити 1,5% для </w:t>
      </w:r>
      <w:r w:rsidRPr="00014A56">
        <w:rPr>
          <w:rFonts w:ascii="Times New Roman" w:eastAsia="Calibri" w:hAnsi="Times New Roman"/>
          <w:color w:val="auto"/>
        </w:rPr>
        <w:t>АТ «Укрексімбанк»</w:t>
      </w:r>
      <w:r w:rsidRPr="00014A56">
        <w:rPr>
          <w:rFonts w:ascii="Times New Roman" w:hAnsi="Times New Roman" w:cs="Times New Roman"/>
          <w:color w:val="auto"/>
        </w:rPr>
        <w:t xml:space="preserve"> та АБ «</w:t>
      </w:r>
      <w:proofErr w:type="spellStart"/>
      <w:r w:rsidRPr="00014A56">
        <w:rPr>
          <w:rFonts w:ascii="Times New Roman" w:hAnsi="Times New Roman" w:cs="Times New Roman"/>
          <w:color w:val="auto"/>
        </w:rPr>
        <w:t>Укргазбанк</w:t>
      </w:r>
      <w:proofErr w:type="spellEnd"/>
      <w:r w:rsidRPr="00014A56">
        <w:rPr>
          <w:rFonts w:ascii="Times New Roman" w:hAnsi="Times New Roman" w:cs="Times New Roman"/>
          <w:color w:val="auto"/>
        </w:rPr>
        <w:t xml:space="preserve">» та 2% для </w:t>
      </w:r>
      <w:r w:rsidR="003B2A23">
        <w:rPr>
          <w:rFonts w:ascii="Times New Roman" w:hAnsi="Times New Roman" w:cs="Times New Roman"/>
          <w:color w:val="auto"/>
        </w:rPr>
        <w:br/>
      </w:r>
      <w:r w:rsidRPr="00014A56">
        <w:rPr>
          <w:rFonts w:ascii="Times New Roman" w:eastAsia="Calibri" w:hAnsi="Times New Roman" w:cs="Times New Roman"/>
          <w:color w:val="auto"/>
        </w:rPr>
        <w:t>АТ КБ «ПриватБанк»</w:t>
      </w:r>
      <w:r w:rsidRPr="00014A56">
        <w:rPr>
          <w:rFonts w:ascii="Times New Roman" w:hAnsi="Times New Roman" w:cs="Times New Roman"/>
          <w:color w:val="auto"/>
        </w:rPr>
        <w:t xml:space="preserve"> та </w:t>
      </w:r>
      <w:r w:rsidRPr="00014A56">
        <w:rPr>
          <w:rFonts w:ascii="Times New Roman" w:eastAsia="Calibri" w:hAnsi="Times New Roman"/>
          <w:color w:val="auto"/>
        </w:rPr>
        <w:t>АТ «Ощадбанк»</w:t>
      </w:r>
      <w:r w:rsidRPr="00014A56">
        <w:rPr>
          <w:rFonts w:ascii="Times New Roman" w:hAnsi="Times New Roman" w:cs="Times New Roman"/>
          <w:color w:val="auto"/>
        </w:rPr>
        <w:t xml:space="preserve">). </w:t>
      </w:r>
    </w:p>
    <w:p w:rsidR="00014A56" w:rsidRPr="00014A56" w:rsidRDefault="00014A56" w:rsidP="00014A56">
      <w:pPr>
        <w:pStyle w:val="Default"/>
        <w:ind w:firstLine="567"/>
        <w:jc w:val="both"/>
        <w:rPr>
          <w:rFonts w:ascii="Times New Roman" w:eastAsia="Calibri" w:hAnsi="Times New Roman"/>
          <w:color w:val="auto"/>
        </w:rPr>
      </w:pPr>
      <w:r w:rsidRPr="00014A56">
        <w:rPr>
          <w:rFonts w:ascii="Times New Roman" w:hAnsi="Times New Roman" w:cs="Times New Roman"/>
          <w:color w:val="auto"/>
        </w:rPr>
        <w:t xml:space="preserve">Впровадження Національним банком вказаних буферів було відтерміновано. Про нові дати активізації буферів капіталу Національний банк України має повідомити окремо та завчасно. </w:t>
      </w:r>
      <w:r w:rsidRPr="00014A56">
        <w:rPr>
          <w:rFonts w:ascii="Times New Roman" w:eastAsia="Calibri" w:hAnsi="Times New Roman"/>
          <w:color w:val="auto"/>
        </w:rPr>
        <w:t xml:space="preserve">Національний банк може підвищити індивідуальні нормативи достатності капіталу для кожного окремого банку, якщо виконання мінімальних загальних вимог до достатності капіталу не гарантуватиме його фінансової стійкості. Індивідуальні нормативи базуватимуться на результатах наглядового процесу </w:t>
      </w:r>
      <w:r w:rsidRPr="00014A56">
        <w:rPr>
          <w:rFonts w:ascii="Times New Roman" w:eastAsia="Calibri" w:hAnsi="Times New Roman"/>
          <w:color w:val="auto"/>
          <w:lang w:val="en-US"/>
        </w:rPr>
        <w:t>SREP</w:t>
      </w:r>
      <w:r w:rsidRPr="00014A56">
        <w:rPr>
          <w:rFonts w:ascii="Times New Roman" w:eastAsia="Calibri" w:hAnsi="Times New Roman"/>
          <w:color w:val="auto"/>
        </w:rPr>
        <w:t xml:space="preserve">, який, серед іншого, включатиме оцінку достатності капіталу банком в процесі </w:t>
      </w:r>
      <w:r w:rsidRPr="00014A56">
        <w:rPr>
          <w:rFonts w:ascii="Times New Roman" w:eastAsia="Calibri" w:hAnsi="Times New Roman"/>
          <w:color w:val="auto"/>
          <w:lang w:val="en-US"/>
        </w:rPr>
        <w:t>ICAAP</w:t>
      </w:r>
      <w:r w:rsidRPr="00014A56">
        <w:rPr>
          <w:rFonts w:ascii="Times New Roman" w:eastAsia="Calibri" w:hAnsi="Times New Roman"/>
          <w:color w:val="auto"/>
        </w:rPr>
        <w:t>.</w:t>
      </w:r>
    </w:p>
    <w:p w:rsidR="00014A56" w:rsidRPr="00014A56" w:rsidRDefault="00014A56" w:rsidP="00014A56">
      <w:pPr>
        <w:tabs>
          <w:tab w:val="left" w:pos="993"/>
        </w:tabs>
        <w:autoSpaceDE w:val="0"/>
        <w:autoSpaceDN w:val="0"/>
        <w:adjustRightInd w:val="0"/>
        <w:spacing w:after="0" w:line="240" w:lineRule="auto"/>
        <w:ind w:firstLine="567"/>
        <w:jc w:val="both"/>
        <w:rPr>
          <w:rFonts w:ascii="Times New Roman" w:hAnsi="Times New Roman" w:cs="Times New Roman"/>
          <w:sz w:val="24"/>
          <w:szCs w:val="24"/>
        </w:rPr>
      </w:pPr>
      <w:r w:rsidRPr="00014A56">
        <w:rPr>
          <w:rFonts w:ascii="Times New Roman" w:hAnsi="Times New Roman" w:cs="Times New Roman"/>
          <w:sz w:val="24"/>
          <w:szCs w:val="24"/>
        </w:rPr>
        <w:t xml:space="preserve">На основі Методики оцінки фінансової стійкості Фонду гарантування вкладів фізичних осіб (далі – Фонд), затвердженої рішенням виконавчої дирекції Фонду від 28.02.2013 № 13 </w:t>
      </w:r>
      <w:r w:rsidRPr="00014A56">
        <w:rPr>
          <w:rFonts w:ascii="Times New Roman" w:hAnsi="Times New Roman" w:cs="Times New Roman"/>
          <w:sz w:val="24"/>
          <w:szCs w:val="24"/>
        </w:rPr>
        <w:br/>
        <w:t xml:space="preserve">(у редакції від 13 грудня 2018 року № 3358) Фонд оцінив ризики, що існують на сьогодні в банківській системі України та порівняв їх зі своїми фінансовими можливостями на наступні </w:t>
      </w:r>
      <w:r w:rsidRPr="00014A56">
        <w:rPr>
          <w:rFonts w:ascii="Times New Roman" w:hAnsi="Times New Roman" w:cs="Times New Roman"/>
          <w:sz w:val="24"/>
          <w:szCs w:val="24"/>
        </w:rPr>
        <w:br/>
        <w:t xml:space="preserve">12 місяців. Сума накопичених Фондом коштів свідчить про те, що протягом наступних 12 місяців за оптимістичним сценарієм Фонд буде у змозі здійснити виплати вкладникам неплатоспроможних банків без додаткового залучення коштів із державного бюджету. Проте, за умови реалізації песимістичного сценарію, передбаченого розрахунками Фонду, в червні </w:t>
      </w:r>
      <w:r w:rsidRPr="00014A56">
        <w:rPr>
          <w:rFonts w:ascii="Times New Roman" w:hAnsi="Times New Roman" w:cs="Times New Roman"/>
          <w:sz w:val="24"/>
          <w:szCs w:val="24"/>
        </w:rPr>
        <w:br/>
        <w:t>2022 року можливе виникнення дефіциту коштів у сумі близько 1,65 млрд гривень. Фонд не має змоги впливати на зазначені ризики в банківській системі України, тому оцінює свої фіскальні ризики на такому рівні. Вірогідність реалізації таких ризиків у повному обсязі є низькою і реалізація їх можлива лише в умовах важких фінансових потрясінь у банківському секторі.</w:t>
      </w:r>
    </w:p>
    <w:p w:rsidR="00014A56" w:rsidRPr="00014A56" w:rsidRDefault="00014A56" w:rsidP="00014A56">
      <w:pPr>
        <w:autoSpaceDE w:val="0"/>
        <w:autoSpaceDN w:val="0"/>
        <w:adjustRightInd w:val="0"/>
        <w:spacing w:before="120" w:after="0" w:line="240" w:lineRule="auto"/>
        <w:ind w:firstLine="567"/>
        <w:jc w:val="both"/>
        <w:rPr>
          <w:rFonts w:ascii="Times New Roman" w:eastAsia="Calibri" w:hAnsi="Times New Roman" w:cs="Segoe UI"/>
          <w:sz w:val="24"/>
          <w:szCs w:val="24"/>
          <w:lang w:val="ru-RU"/>
        </w:rPr>
      </w:pPr>
      <w:r w:rsidRPr="00014A56">
        <w:rPr>
          <w:rFonts w:ascii="Times New Roman" w:eastAsia="Calibri" w:hAnsi="Times New Roman" w:cs="Segoe UI"/>
          <w:sz w:val="24"/>
          <w:szCs w:val="24"/>
        </w:rPr>
        <w:t>Ураховуючи вказане, в подальшому з метою мінімізації впливу на показники державного бюджету фіскальних ризиків, пов’язаних із функціонуванням фінансового сектору, є необхідним</w:t>
      </w:r>
      <w:r w:rsidRPr="00014A56">
        <w:rPr>
          <w:rFonts w:ascii="Times New Roman" w:eastAsia="Calibri" w:hAnsi="Times New Roman" w:cs="Segoe UI"/>
          <w:sz w:val="24"/>
          <w:szCs w:val="24"/>
          <w:lang w:val="ru-RU"/>
        </w:rPr>
        <w:t>:</w:t>
      </w:r>
    </w:p>
    <w:p w:rsidR="00014A56" w:rsidRPr="00014A56" w:rsidRDefault="00014A56" w:rsidP="00014A56">
      <w:pPr>
        <w:tabs>
          <w:tab w:val="left" w:pos="567"/>
        </w:tabs>
        <w:autoSpaceDE w:val="0"/>
        <w:autoSpaceDN w:val="0"/>
        <w:adjustRightInd w:val="0"/>
        <w:spacing w:after="0" w:line="240" w:lineRule="auto"/>
        <w:ind w:firstLine="567"/>
        <w:jc w:val="both"/>
        <w:rPr>
          <w:rFonts w:ascii="Times New Roman" w:eastAsia="Calibri" w:hAnsi="Times New Roman" w:cs="Segoe UI"/>
          <w:sz w:val="24"/>
          <w:szCs w:val="24"/>
          <w:lang w:val="ru-RU"/>
        </w:rPr>
      </w:pPr>
      <w:r w:rsidRPr="00014A56">
        <w:rPr>
          <w:rFonts w:ascii="Times New Roman" w:eastAsia="Calibri" w:hAnsi="Times New Roman" w:cs="Segoe UI"/>
          <w:sz w:val="24"/>
          <w:szCs w:val="24"/>
          <w:lang w:val="ru-RU"/>
        </w:rPr>
        <w:t xml:space="preserve">- </w:t>
      </w:r>
      <w:r w:rsidRPr="00014A56">
        <w:rPr>
          <w:rFonts w:ascii="Times New Roman" w:eastAsia="Calibri" w:hAnsi="Times New Roman" w:cs="Segoe UI"/>
          <w:sz w:val="24"/>
          <w:szCs w:val="24"/>
        </w:rPr>
        <w:t>впровадження ефективних механізмів для роботи з непрацюючими кредитами;</w:t>
      </w:r>
    </w:p>
    <w:p w:rsidR="00014A56" w:rsidRPr="00014A56" w:rsidRDefault="00014A56" w:rsidP="00014A56">
      <w:pPr>
        <w:tabs>
          <w:tab w:val="left" w:pos="567"/>
        </w:tabs>
        <w:autoSpaceDE w:val="0"/>
        <w:autoSpaceDN w:val="0"/>
        <w:adjustRightInd w:val="0"/>
        <w:spacing w:after="0" w:line="240" w:lineRule="auto"/>
        <w:ind w:firstLine="567"/>
        <w:jc w:val="both"/>
        <w:rPr>
          <w:rFonts w:ascii="Times New Roman" w:eastAsia="Calibri" w:hAnsi="Times New Roman" w:cs="Segoe UI"/>
          <w:sz w:val="24"/>
          <w:szCs w:val="24"/>
        </w:rPr>
      </w:pPr>
      <w:r w:rsidRPr="00014A56">
        <w:rPr>
          <w:rFonts w:ascii="Times New Roman" w:eastAsia="Calibri" w:hAnsi="Times New Roman" w:cs="Segoe UI"/>
          <w:sz w:val="24"/>
          <w:szCs w:val="24"/>
          <w:lang w:val="ru-RU"/>
        </w:rPr>
        <w:t xml:space="preserve">- </w:t>
      </w:r>
      <w:r w:rsidRPr="00014A56">
        <w:rPr>
          <w:rFonts w:ascii="Times New Roman" w:eastAsia="Calibri" w:hAnsi="Times New Roman" w:cs="Segoe UI"/>
          <w:sz w:val="24"/>
          <w:szCs w:val="24"/>
        </w:rPr>
        <w:t xml:space="preserve">прискорення реалізації стратегії реформування державних банків; </w:t>
      </w:r>
    </w:p>
    <w:p w:rsidR="00014A56" w:rsidRPr="00014A56" w:rsidRDefault="00014A56" w:rsidP="00014A56">
      <w:pPr>
        <w:tabs>
          <w:tab w:val="left" w:pos="567"/>
        </w:tabs>
        <w:autoSpaceDE w:val="0"/>
        <w:autoSpaceDN w:val="0"/>
        <w:adjustRightInd w:val="0"/>
        <w:spacing w:after="0" w:line="240" w:lineRule="auto"/>
        <w:ind w:firstLine="567"/>
        <w:jc w:val="both"/>
        <w:rPr>
          <w:rFonts w:ascii="Times New Roman" w:eastAsia="Calibri" w:hAnsi="Times New Roman" w:cs="Segoe UI"/>
          <w:sz w:val="24"/>
          <w:szCs w:val="24"/>
        </w:rPr>
      </w:pPr>
      <w:r w:rsidRPr="00014A56">
        <w:rPr>
          <w:rFonts w:ascii="Times New Roman" w:eastAsia="Calibri" w:hAnsi="Times New Roman" w:cs="Segoe UI"/>
          <w:sz w:val="24"/>
          <w:szCs w:val="24"/>
        </w:rPr>
        <w:t xml:space="preserve">- продовження запровадження </w:t>
      </w:r>
      <w:proofErr w:type="spellStart"/>
      <w:r w:rsidRPr="00014A56">
        <w:rPr>
          <w:rFonts w:ascii="Times New Roman" w:eastAsia="Calibri" w:hAnsi="Times New Roman" w:cs="Segoe UI"/>
          <w:sz w:val="24"/>
          <w:szCs w:val="24"/>
        </w:rPr>
        <w:t>макропруденційних</w:t>
      </w:r>
      <w:proofErr w:type="spellEnd"/>
      <w:r w:rsidRPr="00014A56">
        <w:rPr>
          <w:rFonts w:ascii="Times New Roman" w:eastAsia="Calibri" w:hAnsi="Times New Roman" w:cs="Segoe UI"/>
          <w:sz w:val="24"/>
          <w:szCs w:val="24"/>
        </w:rPr>
        <w:t xml:space="preserve"> нормативів, які спрямовані на посилення стійкості банківської системи до можливих шоків; </w:t>
      </w:r>
    </w:p>
    <w:p w:rsidR="00014A56" w:rsidRPr="00014A56" w:rsidRDefault="00014A56" w:rsidP="00014A56">
      <w:pPr>
        <w:tabs>
          <w:tab w:val="left" w:pos="567"/>
        </w:tabs>
        <w:autoSpaceDE w:val="0"/>
        <w:autoSpaceDN w:val="0"/>
        <w:adjustRightInd w:val="0"/>
        <w:spacing w:after="0" w:line="240" w:lineRule="auto"/>
        <w:ind w:firstLine="567"/>
        <w:jc w:val="both"/>
        <w:rPr>
          <w:rFonts w:ascii="Times New Roman" w:eastAsia="Calibri" w:hAnsi="Times New Roman" w:cs="Segoe UI"/>
          <w:sz w:val="24"/>
          <w:szCs w:val="24"/>
        </w:rPr>
      </w:pPr>
      <w:r w:rsidRPr="00014A56">
        <w:rPr>
          <w:rFonts w:ascii="Times New Roman" w:eastAsia="Calibri" w:hAnsi="Times New Roman" w:cs="Segoe UI"/>
          <w:sz w:val="24"/>
          <w:szCs w:val="24"/>
        </w:rPr>
        <w:t xml:space="preserve">- прискорення реалізації заходів, спрямованих на поступовий вихід держави із банківського сектору; </w:t>
      </w:r>
    </w:p>
    <w:p w:rsidR="00014A56" w:rsidRPr="00014A56" w:rsidRDefault="00014A56" w:rsidP="00014A56">
      <w:pPr>
        <w:tabs>
          <w:tab w:val="left" w:pos="567"/>
        </w:tabs>
        <w:autoSpaceDE w:val="0"/>
        <w:autoSpaceDN w:val="0"/>
        <w:adjustRightInd w:val="0"/>
        <w:spacing w:after="0" w:line="240" w:lineRule="auto"/>
        <w:ind w:firstLine="567"/>
        <w:jc w:val="both"/>
        <w:rPr>
          <w:rFonts w:ascii="Times New Roman" w:eastAsia="Calibri" w:hAnsi="Times New Roman" w:cs="Segoe UI"/>
          <w:sz w:val="24"/>
          <w:szCs w:val="24"/>
        </w:rPr>
      </w:pPr>
      <w:r w:rsidRPr="00014A56">
        <w:rPr>
          <w:rFonts w:ascii="Times New Roman" w:eastAsia="Calibri" w:hAnsi="Times New Roman" w:cs="Segoe UI"/>
          <w:sz w:val="24"/>
          <w:szCs w:val="24"/>
        </w:rPr>
        <w:t xml:space="preserve">- здійснення реструктуризації боргових зобов’язань Фонду гарантування вкладів фізичних осіб перед Міністерством фінансів; </w:t>
      </w:r>
    </w:p>
    <w:p w:rsidR="00014A56" w:rsidRPr="00014A56" w:rsidRDefault="00014A56" w:rsidP="00014A56">
      <w:pPr>
        <w:tabs>
          <w:tab w:val="left" w:pos="567"/>
        </w:tabs>
        <w:autoSpaceDE w:val="0"/>
        <w:autoSpaceDN w:val="0"/>
        <w:adjustRightInd w:val="0"/>
        <w:spacing w:after="0" w:line="240" w:lineRule="auto"/>
        <w:ind w:firstLine="567"/>
        <w:jc w:val="both"/>
        <w:rPr>
          <w:rFonts w:ascii="Times New Roman" w:eastAsia="Calibri" w:hAnsi="Times New Roman" w:cs="Segoe UI"/>
          <w:sz w:val="24"/>
          <w:szCs w:val="24"/>
        </w:rPr>
      </w:pPr>
      <w:r w:rsidRPr="00014A56">
        <w:rPr>
          <w:rFonts w:ascii="Times New Roman" w:eastAsia="Calibri" w:hAnsi="Times New Roman" w:cs="Segoe UI"/>
          <w:sz w:val="24"/>
          <w:szCs w:val="24"/>
          <w:lang w:val="ru-RU"/>
        </w:rPr>
        <w:t xml:space="preserve">- </w:t>
      </w:r>
      <w:r w:rsidRPr="00014A56">
        <w:rPr>
          <w:rFonts w:ascii="Times New Roman" w:eastAsia="Calibri" w:hAnsi="Times New Roman" w:cs="Segoe UI"/>
          <w:sz w:val="24"/>
          <w:szCs w:val="24"/>
        </w:rPr>
        <w:t xml:space="preserve">поглиблення співпраці з міжнародними партнерами; </w:t>
      </w:r>
    </w:p>
    <w:p w:rsidR="00014A56" w:rsidRPr="00014A56" w:rsidRDefault="00014A56" w:rsidP="00014A56">
      <w:pPr>
        <w:tabs>
          <w:tab w:val="left" w:pos="567"/>
        </w:tabs>
        <w:autoSpaceDE w:val="0"/>
        <w:autoSpaceDN w:val="0"/>
        <w:adjustRightInd w:val="0"/>
        <w:spacing w:after="0" w:line="240" w:lineRule="auto"/>
        <w:ind w:firstLine="567"/>
        <w:jc w:val="both"/>
        <w:rPr>
          <w:rFonts w:ascii="Times New Roman" w:eastAsia="Calibri" w:hAnsi="Times New Roman" w:cs="Segoe UI"/>
          <w:sz w:val="24"/>
          <w:szCs w:val="24"/>
        </w:rPr>
      </w:pPr>
      <w:r w:rsidRPr="00014A56">
        <w:rPr>
          <w:rFonts w:ascii="Times New Roman" w:eastAsia="Calibri" w:hAnsi="Times New Roman" w:cs="Segoe UI"/>
          <w:sz w:val="24"/>
          <w:szCs w:val="24"/>
          <w:lang w:val="ru-RU"/>
        </w:rPr>
        <w:t xml:space="preserve">- </w:t>
      </w:r>
      <w:r w:rsidRPr="00014A56">
        <w:rPr>
          <w:rFonts w:ascii="Times New Roman" w:eastAsia="Calibri" w:hAnsi="Times New Roman" w:cs="Segoe UI"/>
          <w:sz w:val="24"/>
          <w:szCs w:val="24"/>
        </w:rPr>
        <w:t>прийняття законодавчих актів, спрямованих на розвиток фінансового сектору.</w:t>
      </w:r>
    </w:p>
    <w:p w:rsidR="00014A56" w:rsidRPr="00870D74" w:rsidRDefault="00014A56" w:rsidP="00014A56">
      <w:pPr>
        <w:pStyle w:val="1"/>
        <w:spacing w:after="120" w:line="264" w:lineRule="auto"/>
        <w:jc w:val="center"/>
        <w:rPr>
          <w:b/>
          <w:sz w:val="28"/>
        </w:rPr>
      </w:pPr>
      <w:bookmarkStart w:id="9" w:name="_Toc82168990"/>
      <w:r w:rsidRPr="00870D74">
        <w:rPr>
          <w:b/>
          <w:sz w:val="28"/>
        </w:rPr>
        <w:t>ФІСКАЛЬНІ РИЗИКИ, ПОВ’ЯЗАНІ ІЗ РЕАЛІЗАЦІЄЮ ПРОЕКТІВ</w:t>
      </w:r>
      <w:r w:rsidRPr="00870D74">
        <w:rPr>
          <w:b/>
          <w:i/>
          <w:iCs/>
          <w:sz w:val="28"/>
        </w:rPr>
        <w:t xml:space="preserve"> </w:t>
      </w:r>
      <w:r w:rsidRPr="00870D74">
        <w:rPr>
          <w:b/>
          <w:i/>
          <w:iCs/>
          <w:sz w:val="28"/>
        </w:rPr>
        <w:br/>
      </w:r>
      <w:r w:rsidRPr="00870D74">
        <w:rPr>
          <w:b/>
          <w:sz w:val="28"/>
        </w:rPr>
        <w:t>ДЕРЖАВНО-ПРИВАТНОГО ПАРТНЕРСТВА</w:t>
      </w:r>
      <w:bookmarkEnd w:id="9"/>
    </w:p>
    <w:p w:rsidR="00014A56" w:rsidRPr="00014A56" w:rsidRDefault="00014A56" w:rsidP="00014A56">
      <w:pPr>
        <w:pStyle w:val="a4"/>
        <w:spacing w:before="120" w:after="0" w:line="240" w:lineRule="auto"/>
        <w:ind w:left="0" w:firstLine="567"/>
        <w:contextualSpacing w:val="0"/>
        <w:jc w:val="both"/>
        <w:rPr>
          <w:rFonts w:ascii="Times New Roman" w:hAnsi="Times New Roman" w:cs="Times New Roman"/>
          <w:sz w:val="24"/>
          <w:szCs w:val="24"/>
        </w:rPr>
      </w:pPr>
      <w:r w:rsidRPr="00014A56">
        <w:rPr>
          <w:rFonts w:ascii="Times New Roman" w:hAnsi="Times New Roman" w:cs="Times New Roman"/>
          <w:sz w:val="24"/>
          <w:szCs w:val="24"/>
        </w:rPr>
        <w:t>Мінекономіки наказом від 26.05.2020 № 986, який зареєстрований в Міністерстві юстиції України 06.07.2020 за № 628/34911, затверджено Порядок подання державними партнерами (</w:t>
      </w:r>
      <w:proofErr w:type="spellStart"/>
      <w:r w:rsidRPr="00014A56">
        <w:rPr>
          <w:rFonts w:ascii="Times New Roman" w:hAnsi="Times New Roman" w:cs="Times New Roman"/>
          <w:sz w:val="24"/>
          <w:szCs w:val="24"/>
        </w:rPr>
        <w:t>концесієдавцями</w:t>
      </w:r>
      <w:proofErr w:type="spellEnd"/>
      <w:r w:rsidRPr="00014A56">
        <w:rPr>
          <w:rFonts w:ascii="Times New Roman" w:hAnsi="Times New Roman" w:cs="Times New Roman"/>
          <w:sz w:val="24"/>
          <w:szCs w:val="24"/>
        </w:rPr>
        <w:t xml:space="preserve">) щорічного звіту про виконання договору, укладеного в рамках державно– приватного партнерства, у тому числі концесійного договору та відповідну форму для подання інформації, яка містить  розділ V «Аналіз ризиків, що покладені на державного партнера / </w:t>
      </w:r>
      <w:proofErr w:type="spellStart"/>
      <w:r w:rsidRPr="00014A56">
        <w:rPr>
          <w:rFonts w:ascii="Times New Roman" w:hAnsi="Times New Roman" w:cs="Times New Roman"/>
          <w:sz w:val="24"/>
          <w:szCs w:val="24"/>
        </w:rPr>
        <w:t>концесієдавця</w:t>
      </w:r>
      <w:proofErr w:type="spellEnd"/>
      <w:r w:rsidRPr="00014A56">
        <w:rPr>
          <w:rFonts w:ascii="Times New Roman" w:hAnsi="Times New Roman" w:cs="Times New Roman"/>
          <w:sz w:val="24"/>
          <w:szCs w:val="24"/>
        </w:rPr>
        <w:t xml:space="preserve"> відповідно до договору (уноситься інформація за тими ризиками, які відповідно до договору належать до відповідальності державного партнера / </w:t>
      </w:r>
      <w:proofErr w:type="spellStart"/>
      <w:r w:rsidRPr="00014A56">
        <w:rPr>
          <w:rFonts w:ascii="Times New Roman" w:hAnsi="Times New Roman" w:cs="Times New Roman"/>
          <w:sz w:val="24"/>
          <w:szCs w:val="24"/>
        </w:rPr>
        <w:t>концесієдавця</w:t>
      </w:r>
      <w:proofErr w:type="spellEnd"/>
      <w:r w:rsidRPr="00014A56">
        <w:rPr>
          <w:rFonts w:ascii="Times New Roman" w:hAnsi="Times New Roman" w:cs="Times New Roman"/>
          <w:sz w:val="24"/>
          <w:szCs w:val="24"/>
        </w:rPr>
        <w:t>)».</w:t>
      </w:r>
    </w:p>
    <w:p w:rsidR="00014A56" w:rsidRPr="00014A56" w:rsidRDefault="00014A56" w:rsidP="00014A56">
      <w:pPr>
        <w:pStyle w:val="a4"/>
        <w:spacing w:after="0" w:line="240" w:lineRule="auto"/>
        <w:ind w:left="0" w:firstLine="567"/>
        <w:contextualSpacing w:val="0"/>
        <w:jc w:val="both"/>
        <w:rPr>
          <w:rFonts w:ascii="Times New Roman" w:hAnsi="Times New Roman" w:cs="Times New Roman"/>
          <w:sz w:val="24"/>
          <w:szCs w:val="24"/>
        </w:rPr>
      </w:pPr>
      <w:r w:rsidRPr="00014A56">
        <w:rPr>
          <w:rFonts w:ascii="Times New Roman" w:hAnsi="Times New Roman" w:cs="Times New Roman"/>
          <w:sz w:val="24"/>
          <w:szCs w:val="24"/>
        </w:rPr>
        <w:t>За результатами проведеного аналізу отриманих звітів за новою формою за 2020 рік в частині моніторингу загального рівня ризиків державного партнера (</w:t>
      </w:r>
      <w:proofErr w:type="spellStart"/>
      <w:r w:rsidRPr="00014A56">
        <w:rPr>
          <w:rFonts w:ascii="Times New Roman" w:hAnsi="Times New Roman" w:cs="Times New Roman"/>
          <w:sz w:val="24"/>
          <w:szCs w:val="24"/>
        </w:rPr>
        <w:t>концесієдавця</w:t>
      </w:r>
      <w:proofErr w:type="spellEnd"/>
      <w:r w:rsidRPr="00014A56">
        <w:rPr>
          <w:rFonts w:ascii="Times New Roman" w:hAnsi="Times New Roman" w:cs="Times New Roman"/>
          <w:sz w:val="24"/>
          <w:szCs w:val="24"/>
        </w:rPr>
        <w:t xml:space="preserve">) за договорами, укладеними у рамках державно – приватного партнерства, у тому числі концесійними договорами, Мінекономіки встановлено відсутність інформації про ризики по договорах, укладених з державними органами, які згідно із Законом України «Про управління об’єктами державної власності» здійснюють управління об’єктами державної власності, зокрема: </w:t>
      </w:r>
    </w:p>
    <w:p w:rsidR="00014A56" w:rsidRPr="00014A56" w:rsidRDefault="00014A56" w:rsidP="00014A56">
      <w:pPr>
        <w:pStyle w:val="a4"/>
        <w:spacing w:after="0" w:line="240" w:lineRule="auto"/>
        <w:ind w:left="0" w:firstLine="567"/>
        <w:contextualSpacing w:val="0"/>
        <w:jc w:val="both"/>
        <w:rPr>
          <w:rFonts w:ascii="Times New Roman" w:hAnsi="Times New Roman" w:cs="Times New Roman"/>
          <w:sz w:val="24"/>
          <w:szCs w:val="24"/>
        </w:rPr>
      </w:pPr>
      <w:r w:rsidRPr="00014A56">
        <w:rPr>
          <w:rFonts w:ascii="Times New Roman" w:hAnsi="Times New Roman" w:cs="Times New Roman"/>
          <w:sz w:val="24"/>
          <w:szCs w:val="24"/>
        </w:rPr>
        <w:t xml:space="preserve">- концесійний договір від 26.06.2020 між Міністерством інфраструктури України та </w:t>
      </w:r>
      <w:r w:rsidRPr="00014A56">
        <w:rPr>
          <w:rFonts w:ascii="Times New Roman" w:hAnsi="Times New Roman" w:cs="Times New Roman"/>
          <w:sz w:val="24"/>
          <w:szCs w:val="24"/>
        </w:rPr>
        <w:br/>
        <w:t>ДП «Адміністрація морських портів України» і ТОВ «</w:t>
      </w:r>
      <w:proofErr w:type="spellStart"/>
      <w:r w:rsidRPr="00014A56">
        <w:rPr>
          <w:rFonts w:ascii="Times New Roman" w:hAnsi="Times New Roman" w:cs="Times New Roman"/>
          <w:sz w:val="24"/>
          <w:szCs w:val="24"/>
        </w:rPr>
        <w:t>РисоілХерсон</w:t>
      </w:r>
      <w:proofErr w:type="spellEnd"/>
      <w:r w:rsidRPr="00014A56">
        <w:rPr>
          <w:rFonts w:ascii="Times New Roman" w:hAnsi="Times New Roman" w:cs="Times New Roman"/>
          <w:sz w:val="24"/>
          <w:szCs w:val="24"/>
        </w:rPr>
        <w:t>» та ТОВ «</w:t>
      </w:r>
      <w:proofErr w:type="spellStart"/>
      <w:r w:rsidRPr="00014A56">
        <w:rPr>
          <w:rFonts w:ascii="Times New Roman" w:hAnsi="Times New Roman" w:cs="Times New Roman"/>
          <w:sz w:val="24"/>
          <w:szCs w:val="24"/>
        </w:rPr>
        <w:t>Проєктна</w:t>
      </w:r>
      <w:proofErr w:type="spellEnd"/>
      <w:r w:rsidRPr="00014A56">
        <w:rPr>
          <w:rFonts w:ascii="Times New Roman" w:hAnsi="Times New Roman" w:cs="Times New Roman"/>
          <w:sz w:val="24"/>
          <w:szCs w:val="24"/>
        </w:rPr>
        <w:t xml:space="preserve"> компанія «</w:t>
      </w:r>
      <w:proofErr w:type="spellStart"/>
      <w:r w:rsidRPr="00014A56">
        <w:rPr>
          <w:rFonts w:ascii="Times New Roman" w:hAnsi="Times New Roman" w:cs="Times New Roman"/>
          <w:sz w:val="24"/>
          <w:szCs w:val="24"/>
        </w:rPr>
        <w:t>Рисоіл</w:t>
      </w:r>
      <w:proofErr w:type="spellEnd"/>
      <w:r w:rsidRPr="00014A56">
        <w:rPr>
          <w:rFonts w:ascii="Times New Roman" w:hAnsi="Times New Roman" w:cs="Times New Roman"/>
          <w:sz w:val="24"/>
          <w:szCs w:val="24"/>
        </w:rPr>
        <w:t xml:space="preserve">-Херсон» – операційна діяльність концесіонером не розпочата, інформація по ризиках відсутня. Наразі триває перехідний період щодо виконання умов концесійного договору у морському порту Херсон відповідно до наказу </w:t>
      </w:r>
      <w:proofErr w:type="spellStart"/>
      <w:r w:rsidRPr="00014A56">
        <w:rPr>
          <w:rFonts w:ascii="Times New Roman" w:hAnsi="Times New Roman" w:cs="Times New Roman"/>
          <w:sz w:val="24"/>
          <w:szCs w:val="24"/>
        </w:rPr>
        <w:t>Мінінфраструктури</w:t>
      </w:r>
      <w:proofErr w:type="spellEnd"/>
      <w:r w:rsidRPr="00014A56">
        <w:rPr>
          <w:rFonts w:ascii="Times New Roman" w:hAnsi="Times New Roman" w:cs="Times New Roman"/>
          <w:sz w:val="24"/>
          <w:szCs w:val="24"/>
        </w:rPr>
        <w:t xml:space="preserve"> від 11.09.2020 № 561 </w:t>
      </w:r>
      <w:r w:rsidRPr="00014A56">
        <w:rPr>
          <w:rFonts w:ascii="Times New Roman" w:hAnsi="Times New Roman" w:cs="Times New Roman"/>
          <w:sz w:val="24"/>
          <w:szCs w:val="24"/>
        </w:rPr>
        <w:br/>
        <w:t xml:space="preserve">«Про деякі питання виконання умов концесійного договору стосовно передачі в концесію майна ДП «Херсонський морський торговельний порт» і майна ДП «Адміністрація морських портів України» протягом перехідного періоду»; </w:t>
      </w:r>
    </w:p>
    <w:p w:rsidR="00014A56" w:rsidRPr="00014A56" w:rsidRDefault="00014A56" w:rsidP="00014A56">
      <w:pPr>
        <w:pStyle w:val="a4"/>
        <w:spacing w:after="0" w:line="240" w:lineRule="auto"/>
        <w:ind w:left="0" w:firstLine="567"/>
        <w:contextualSpacing w:val="0"/>
        <w:jc w:val="both"/>
        <w:rPr>
          <w:rFonts w:ascii="Times New Roman" w:hAnsi="Times New Roman" w:cs="Times New Roman"/>
          <w:sz w:val="24"/>
          <w:szCs w:val="24"/>
          <w:highlight w:val="cyan"/>
        </w:rPr>
      </w:pPr>
      <w:r w:rsidRPr="00014A56">
        <w:rPr>
          <w:rFonts w:ascii="Times New Roman" w:hAnsi="Times New Roman" w:cs="Times New Roman"/>
          <w:sz w:val="24"/>
          <w:szCs w:val="24"/>
        </w:rPr>
        <w:t xml:space="preserve">- концесійний договір від 20.08.2020 між Міністерством інфраструктури України та </w:t>
      </w:r>
      <w:r w:rsidRPr="00014A56">
        <w:rPr>
          <w:rFonts w:ascii="Times New Roman" w:hAnsi="Times New Roman" w:cs="Times New Roman"/>
          <w:sz w:val="24"/>
          <w:szCs w:val="24"/>
        </w:rPr>
        <w:br/>
        <w:t xml:space="preserve">ДП «Адміністрація морських портів України» і </w:t>
      </w:r>
      <w:proofErr w:type="spellStart"/>
      <w:r w:rsidRPr="00014A56">
        <w:rPr>
          <w:rFonts w:ascii="Times New Roman" w:hAnsi="Times New Roman" w:cs="Times New Roman"/>
          <w:sz w:val="24"/>
          <w:szCs w:val="24"/>
        </w:rPr>
        <w:t>Кютерміналз</w:t>
      </w:r>
      <w:proofErr w:type="spellEnd"/>
      <w:r w:rsidRPr="00014A56">
        <w:rPr>
          <w:rFonts w:ascii="Times New Roman" w:hAnsi="Times New Roman" w:cs="Times New Roman"/>
          <w:sz w:val="24"/>
          <w:szCs w:val="24"/>
        </w:rPr>
        <w:t xml:space="preserve"> </w:t>
      </w:r>
      <w:proofErr w:type="spellStart"/>
      <w:r w:rsidRPr="00014A56">
        <w:rPr>
          <w:rFonts w:ascii="Times New Roman" w:hAnsi="Times New Roman" w:cs="Times New Roman"/>
          <w:sz w:val="24"/>
          <w:szCs w:val="24"/>
        </w:rPr>
        <w:t>Дабл</w:t>
      </w:r>
      <w:proofErr w:type="spellEnd"/>
      <w:r w:rsidRPr="00014A56">
        <w:rPr>
          <w:rFonts w:ascii="Times New Roman" w:hAnsi="Times New Roman" w:cs="Times New Roman"/>
          <w:sz w:val="24"/>
          <w:szCs w:val="24"/>
        </w:rPr>
        <w:t xml:space="preserve"> Ю.ЕЛ.ЕЛ та </w:t>
      </w:r>
      <w:r w:rsidR="00B43743">
        <w:rPr>
          <w:rFonts w:ascii="Times New Roman" w:hAnsi="Times New Roman" w:cs="Times New Roman"/>
          <w:sz w:val="24"/>
          <w:szCs w:val="24"/>
        </w:rPr>
        <w:br/>
      </w:r>
      <w:r w:rsidRPr="00014A56">
        <w:rPr>
          <w:rFonts w:ascii="Times New Roman" w:hAnsi="Times New Roman" w:cs="Times New Roman"/>
          <w:sz w:val="24"/>
          <w:szCs w:val="24"/>
        </w:rPr>
        <w:t>ТОВ «</w:t>
      </w:r>
      <w:proofErr w:type="spellStart"/>
      <w:r w:rsidRPr="00014A56">
        <w:rPr>
          <w:rFonts w:ascii="Times New Roman" w:hAnsi="Times New Roman" w:cs="Times New Roman"/>
          <w:sz w:val="24"/>
          <w:szCs w:val="24"/>
        </w:rPr>
        <w:t>Кютерміналз</w:t>
      </w:r>
      <w:proofErr w:type="spellEnd"/>
      <w:r w:rsidRPr="00014A56">
        <w:rPr>
          <w:rFonts w:ascii="Times New Roman" w:hAnsi="Times New Roman" w:cs="Times New Roman"/>
          <w:sz w:val="24"/>
          <w:szCs w:val="24"/>
        </w:rPr>
        <w:t xml:space="preserve"> Ольвія» – операційна діяльність концесіонером не розпочата, інформація по ризиках відсутня. Наразі триває перехідний період щодо виконання умов концесійного договору у морському порту Ольвія, відповідно до наказу </w:t>
      </w:r>
      <w:proofErr w:type="spellStart"/>
      <w:r w:rsidRPr="00014A56">
        <w:rPr>
          <w:rFonts w:ascii="Times New Roman" w:hAnsi="Times New Roman" w:cs="Times New Roman"/>
          <w:sz w:val="24"/>
          <w:szCs w:val="24"/>
        </w:rPr>
        <w:t>Мінінфраструктури</w:t>
      </w:r>
      <w:proofErr w:type="spellEnd"/>
      <w:r w:rsidRPr="00014A56">
        <w:rPr>
          <w:rFonts w:ascii="Times New Roman" w:hAnsi="Times New Roman" w:cs="Times New Roman"/>
          <w:sz w:val="24"/>
          <w:szCs w:val="24"/>
        </w:rPr>
        <w:t xml:space="preserve"> від 19.10.2020 № 620 «Про деякі питання виконання умов концесійного договору стосовно передачі в концесію майна державного майна «</w:t>
      </w:r>
      <w:proofErr w:type="spellStart"/>
      <w:r w:rsidRPr="00014A56">
        <w:rPr>
          <w:rFonts w:ascii="Times New Roman" w:hAnsi="Times New Roman" w:cs="Times New Roman"/>
          <w:sz w:val="24"/>
          <w:szCs w:val="24"/>
        </w:rPr>
        <w:t>Стивідорна</w:t>
      </w:r>
      <w:proofErr w:type="spellEnd"/>
      <w:r w:rsidRPr="00014A56">
        <w:rPr>
          <w:rFonts w:ascii="Times New Roman" w:hAnsi="Times New Roman" w:cs="Times New Roman"/>
          <w:sz w:val="24"/>
          <w:szCs w:val="24"/>
        </w:rPr>
        <w:t xml:space="preserve"> компанія «Ольвія» і майна державного підприємства «Адміністрація морських портів України» протягом перехідного періоду».</w:t>
      </w:r>
    </w:p>
    <w:p w:rsidR="00014A56" w:rsidRDefault="00014A56" w:rsidP="00014A56">
      <w:pPr>
        <w:pStyle w:val="a4"/>
        <w:spacing w:before="120" w:after="0" w:line="240" w:lineRule="auto"/>
        <w:ind w:left="0" w:firstLine="567"/>
        <w:contextualSpacing w:val="0"/>
        <w:jc w:val="both"/>
        <w:rPr>
          <w:rFonts w:ascii="Times New Roman" w:hAnsi="Times New Roman" w:cs="Times New Roman"/>
          <w:sz w:val="24"/>
          <w:szCs w:val="24"/>
        </w:rPr>
      </w:pPr>
      <w:r w:rsidRPr="00014A56">
        <w:rPr>
          <w:rFonts w:ascii="Times New Roman" w:hAnsi="Times New Roman" w:cs="Times New Roman"/>
          <w:sz w:val="24"/>
          <w:szCs w:val="24"/>
        </w:rPr>
        <w:t xml:space="preserve">У разі запровадження проектів державно-приватного партнерства у 2022 році оцінку ризиків, </w:t>
      </w:r>
      <w:proofErr w:type="spellStart"/>
      <w:r w:rsidRPr="00014A56">
        <w:rPr>
          <w:rFonts w:ascii="Times New Roman" w:hAnsi="Times New Roman" w:cs="Times New Roman"/>
          <w:sz w:val="24"/>
          <w:szCs w:val="24"/>
        </w:rPr>
        <w:t>пов</w:t>
      </w:r>
      <w:proofErr w:type="spellEnd"/>
      <w:r w:rsidRPr="00014A56">
        <w:rPr>
          <w:rFonts w:ascii="Times New Roman" w:hAnsi="Times New Roman" w:cs="Times New Roman"/>
          <w:sz w:val="24"/>
          <w:szCs w:val="24"/>
          <w:lang w:val="ru-RU"/>
        </w:rPr>
        <w:t>’</w:t>
      </w:r>
      <w:proofErr w:type="spellStart"/>
      <w:r w:rsidRPr="00014A56">
        <w:rPr>
          <w:rFonts w:ascii="Times New Roman" w:hAnsi="Times New Roman" w:cs="Times New Roman"/>
          <w:sz w:val="24"/>
          <w:szCs w:val="24"/>
        </w:rPr>
        <w:t>язаних</w:t>
      </w:r>
      <w:proofErr w:type="spellEnd"/>
      <w:r w:rsidRPr="00014A56">
        <w:rPr>
          <w:rFonts w:ascii="Times New Roman" w:hAnsi="Times New Roman" w:cs="Times New Roman"/>
          <w:sz w:val="24"/>
          <w:szCs w:val="24"/>
        </w:rPr>
        <w:t xml:space="preserve"> із їх реалізацією та впливом на показники державного бюджету, буде проведено додатково.</w:t>
      </w:r>
    </w:p>
    <w:p w:rsidR="00014A56" w:rsidRPr="00A801C9" w:rsidRDefault="00014A56" w:rsidP="00014A56">
      <w:pPr>
        <w:pStyle w:val="1"/>
        <w:spacing w:after="120"/>
        <w:jc w:val="center"/>
        <w:rPr>
          <w:rFonts w:eastAsia="Calibri"/>
        </w:rPr>
      </w:pPr>
      <w:bookmarkStart w:id="10" w:name="_Toc82168991"/>
      <w:r w:rsidRPr="00AD3C6A">
        <w:rPr>
          <w:b/>
          <w:sz w:val="28"/>
        </w:rPr>
        <w:t>ФІСКАЛЬНІ РИЗИКИ, ПОВ’ЯЗАНІ ІЗ ЛІКВІДАЦІЄЮ НАСЛІДКІВ НАДЗВИЧАЙНИХ СИТУАЦІЙ ТЕХНОГЕННОГО, ПРИРОДНОГО ТА ІНШОГО ХАРАКТЕРУ</w:t>
      </w:r>
      <w:bookmarkEnd w:id="10"/>
    </w:p>
    <w:p w:rsidR="0081735D" w:rsidRDefault="00D24406" w:rsidP="0081735D">
      <w:pPr>
        <w:autoSpaceDE w:val="0"/>
        <w:autoSpaceDN w:val="0"/>
        <w:adjustRightInd w:val="0"/>
        <w:spacing w:after="0" w:line="240" w:lineRule="auto"/>
        <w:ind w:firstLine="567"/>
        <w:jc w:val="both"/>
        <w:rPr>
          <w:rFonts w:ascii="Times New Roman" w:eastAsia="Calibri" w:hAnsi="Times New Roman" w:cs="Segoe UI"/>
          <w:color w:val="000000"/>
          <w:sz w:val="24"/>
          <w:szCs w:val="24"/>
        </w:rPr>
      </w:pPr>
      <w:r w:rsidRPr="00781CA2">
        <w:rPr>
          <w:noProof/>
          <w:color w:val="A6A6A6" w:themeColor="background1" w:themeShade="A6"/>
          <w:lang w:eastAsia="uk-UA"/>
        </w:rPr>
        <w:drawing>
          <wp:anchor distT="0" distB="0" distL="114300" distR="114300" simplePos="0" relativeHeight="251667456" behindDoc="0" locked="0" layoutInCell="1" allowOverlap="1" wp14:anchorId="52B08829" wp14:editId="5964786A">
            <wp:simplePos x="0" y="0"/>
            <wp:positionH relativeFrom="margin">
              <wp:posOffset>-8890</wp:posOffset>
            </wp:positionH>
            <wp:positionV relativeFrom="paragraph">
              <wp:posOffset>407670</wp:posOffset>
            </wp:positionV>
            <wp:extent cx="6303645" cy="2606675"/>
            <wp:effectExtent l="0" t="0" r="1905" b="3175"/>
            <wp:wrapTopAndBottom/>
            <wp:docPr id="10" name="Діагра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14:sizeRelH relativeFrom="margin">
              <wp14:pctWidth>0</wp14:pctWidth>
            </wp14:sizeRelH>
            <wp14:sizeRelV relativeFrom="margin">
              <wp14:pctHeight>0</wp14:pctHeight>
            </wp14:sizeRelV>
          </wp:anchor>
        </w:drawing>
      </w:r>
      <w:r w:rsidR="00014A56" w:rsidRPr="00973B90">
        <w:rPr>
          <w:rFonts w:ascii="Times New Roman" w:eastAsia="Calibri" w:hAnsi="Times New Roman" w:cs="Segoe UI"/>
          <w:color w:val="000000"/>
          <w:sz w:val="24"/>
          <w:szCs w:val="24"/>
        </w:rPr>
        <w:t xml:space="preserve">За даними Державної служби з надзвичайних ситуацій у 2020 році було зареєстровано </w:t>
      </w:r>
      <w:r w:rsidR="00014A56">
        <w:rPr>
          <w:rFonts w:ascii="Times New Roman" w:eastAsia="Calibri" w:hAnsi="Times New Roman" w:cs="Segoe UI"/>
          <w:color w:val="000000"/>
          <w:sz w:val="24"/>
          <w:szCs w:val="24"/>
        </w:rPr>
        <w:br/>
      </w:r>
      <w:r w:rsidR="00014A56" w:rsidRPr="00973B90">
        <w:rPr>
          <w:rFonts w:ascii="Times New Roman" w:eastAsia="Calibri" w:hAnsi="Times New Roman" w:cs="Segoe UI"/>
          <w:color w:val="000000"/>
          <w:sz w:val="24"/>
          <w:szCs w:val="24"/>
        </w:rPr>
        <w:t>116 надзвичайних ситуацій (далі – НС), якими завдано збитків на суму понад 28,3 млрд гривень.</w:t>
      </w:r>
      <w:r w:rsidR="0081735D">
        <w:rPr>
          <w:rFonts w:ascii="Times New Roman" w:eastAsia="Calibri" w:hAnsi="Times New Roman" w:cs="Segoe UI"/>
          <w:color w:val="000000"/>
          <w:sz w:val="24"/>
          <w:szCs w:val="24"/>
        </w:rPr>
        <w:t xml:space="preserve"> </w:t>
      </w:r>
    </w:p>
    <w:p w:rsidR="00D24406" w:rsidRPr="00014A56" w:rsidRDefault="00D24406" w:rsidP="00D24406">
      <w:pPr>
        <w:autoSpaceDE w:val="0"/>
        <w:autoSpaceDN w:val="0"/>
        <w:adjustRightInd w:val="0"/>
        <w:spacing w:after="120" w:line="240" w:lineRule="auto"/>
        <w:ind w:firstLine="142"/>
        <w:jc w:val="both"/>
        <w:rPr>
          <w:rFonts w:ascii="Times New Roman" w:eastAsia="Calibri" w:hAnsi="Times New Roman" w:cs="Segoe UI"/>
          <w:sz w:val="24"/>
          <w:szCs w:val="24"/>
        </w:rPr>
      </w:pPr>
      <w:r w:rsidRPr="00014A56">
        <w:rPr>
          <w:rFonts w:ascii="Times New Roman" w:eastAsia="Calibri" w:hAnsi="Times New Roman" w:cs="Segoe UI"/>
          <w:i/>
          <w:sz w:val="24"/>
          <w:szCs w:val="24"/>
        </w:rPr>
        <w:t>Джерело: дані Державн</w:t>
      </w:r>
      <w:r>
        <w:rPr>
          <w:rFonts w:ascii="Times New Roman" w:eastAsia="Calibri" w:hAnsi="Times New Roman" w:cs="Segoe UI"/>
          <w:i/>
          <w:sz w:val="24"/>
          <w:szCs w:val="24"/>
        </w:rPr>
        <w:t>ої</w:t>
      </w:r>
      <w:r w:rsidRPr="00014A56">
        <w:rPr>
          <w:rFonts w:ascii="Times New Roman" w:eastAsia="Calibri" w:hAnsi="Times New Roman" w:cs="Segoe UI"/>
          <w:i/>
          <w:sz w:val="24"/>
          <w:szCs w:val="24"/>
        </w:rPr>
        <w:t xml:space="preserve"> служб</w:t>
      </w:r>
      <w:r>
        <w:rPr>
          <w:rFonts w:ascii="Times New Roman" w:eastAsia="Calibri" w:hAnsi="Times New Roman" w:cs="Segoe UI"/>
          <w:i/>
          <w:sz w:val="24"/>
          <w:szCs w:val="24"/>
        </w:rPr>
        <w:t>и</w:t>
      </w:r>
      <w:r w:rsidRPr="00014A56">
        <w:rPr>
          <w:rFonts w:ascii="Times New Roman" w:eastAsia="Calibri" w:hAnsi="Times New Roman" w:cs="Segoe UI"/>
          <w:i/>
          <w:sz w:val="24"/>
          <w:szCs w:val="24"/>
        </w:rPr>
        <w:t xml:space="preserve"> України з надзвичайних ситуацій.</w:t>
      </w:r>
    </w:p>
    <w:p w:rsidR="00014A56" w:rsidRDefault="0081735D" w:rsidP="0081735D">
      <w:pPr>
        <w:autoSpaceDE w:val="0"/>
        <w:autoSpaceDN w:val="0"/>
        <w:adjustRightInd w:val="0"/>
        <w:spacing w:after="0" w:line="240" w:lineRule="auto"/>
        <w:ind w:firstLine="567"/>
        <w:jc w:val="both"/>
        <w:rPr>
          <w:rFonts w:ascii="Times New Roman" w:eastAsia="Calibri" w:hAnsi="Times New Roman" w:cs="Segoe UI"/>
          <w:color w:val="000000"/>
          <w:sz w:val="24"/>
          <w:szCs w:val="24"/>
        </w:rPr>
      </w:pPr>
      <w:r>
        <w:rPr>
          <w:rFonts w:ascii="Times New Roman" w:eastAsia="Calibri" w:hAnsi="Times New Roman" w:cs="Segoe UI"/>
          <w:color w:val="000000"/>
          <w:sz w:val="24"/>
          <w:szCs w:val="24"/>
        </w:rPr>
        <w:t>Та</w:t>
      </w:r>
      <w:r w:rsidR="00014A56" w:rsidRPr="00973B90">
        <w:rPr>
          <w:rFonts w:ascii="Times New Roman" w:eastAsia="Calibri" w:hAnsi="Times New Roman" w:cs="Segoe UI"/>
          <w:color w:val="000000"/>
          <w:sz w:val="24"/>
          <w:szCs w:val="24"/>
        </w:rPr>
        <w:t xml:space="preserve">ка кількість НС є найменшою за період спостережень починаючи з </w:t>
      </w:r>
      <w:r w:rsidR="00014A56" w:rsidRPr="00973B90">
        <w:rPr>
          <w:rFonts w:ascii="Times New Roman" w:eastAsia="Calibri" w:hAnsi="Times New Roman" w:cs="Segoe UI"/>
          <w:color w:val="000000"/>
          <w:sz w:val="24"/>
          <w:szCs w:val="24"/>
        </w:rPr>
        <w:br/>
        <w:t xml:space="preserve">1997 року. Натомість, збільшилась масштабність НС та зафіксовано зростання порівняно із </w:t>
      </w:r>
      <w:r w:rsidR="00014A56">
        <w:rPr>
          <w:rFonts w:ascii="Times New Roman" w:eastAsia="Calibri" w:hAnsi="Times New Roman" w:cs="Segoe UI"/>
          <w:color w:val="000000"/>
          <w:sz w:val="24"/>
          <w:szCs w:val="24"/>
        </w:rPr>
        <w:br/>
      </w:r>
      <w:r w:rsidR="00014A56" w:rsidRPr="00973B90">
        <w:rPr>
          <w:rFonts w:ascii="Times New Roman" w:eastAsia="Calibri" w:hAnsi="Times New Roman" w:cs="Segoe UI"/>
          <w:color w:val="000000"/>
          <w:sz w:val="24"/>
          <w:szCs w:val="24"/>
        </w:rPr>
        <w:t>2019 роком більш ніж у 1</w:t>
      </w:r>
      <w:r w:rsidR="007E6442">
        <w:rPr>
          <w:rFonts w:ascii="Times New Roman" w:eastAsia="Calibri" w:hAnsi="Times New Roman" w:cs="Segoe UI"/>
          <w:color w:val="000000"/>
          <w:sz w:val="24"/>
          <w:szCs w:val="24"/>
        </w:rPr>
        <w:t>7</w:t>
      </w:r>
      <w:r w:rsidR="00014A56" w:rsidRPr="00973B90">
        <w:rPr>
          <w:rFonts w:ascii="Times New Roman" w:eastAsia="Calibri" w:hAnsi="Times New Roman" w:cs="Segoe UI"/>
          <w:color w:val="000000"/>
          <w:sz w:val="24"/>
          <w:szCs w:val="24"/>
        </w:rPr>
        <w:t xml:space="preserve"> разів суми завданих НС збитків, насамперед унаслідок НС, пов’язаних із лісовими пожежами, посухою у південних областях та паводк</w:t>
      </w:r>
      <w:r w:rsidR="00014A56">
        <w:rPr>
          <w:rFonts w:ascii="Times New Roman" w:eastAsia="Calibri" w:hAnsi="Times New Roman" w:cs="Segoe UI"/>
          <w:color w:val="000000"/>
          <w:sz w:val="24"/>
          <w:szCs w:val="24"/>
        </w:rPr>
        <w:t>ом у західних областях України.</w:t>
      </w:r>
    </w:p>
    <w:p w:rsidR="00014A56" w:rsidRPr="00014A56" w:rsidRDefault="00014A56" w:rsidP="00014A56">
      <w:pPr>
        <w:autoSpaceDE w:val="0"/>
        <w:autoSpaceDN w:val="0"/>
        <w:adjustRightInd w:val="0"/>
        <w:spacing w:after="0" w:line="240" w:lineRule="auto"/>
        <w:ind w:firstLine="709"/>
        <w:jc w:val="both"/>
        <w:rPr>
          <w:rFonts w:ascii="Times New Roman" w:eastAsia="Calibri" w:hAnsi="Times New Roman" w:cs="Segoe UI"/>
          <w:sz w:val="24"/>
          <w:szCs w:val="24"/>
        </w:rPr>
      </w:pPr>
      <w:r w:rsidRPr="00014A56">
        <w:rPr>
          <w:rFonts w:ascii="Times New Roman" w:eastAsia="Calibri" w:hAnsi="Times New Roman" w:cs="Segoe UI"/>
          <w:sz w:val="24"/>
          <w:szCs w:val="24"/>
        </w:rPr>
        <w:t>У 2020 році з резервного фонду державного бюджету на ліквідацію та запобігання НС було виділено близько 2,8 млрд гривень. Державна служба з надзвичайних ситуацій протягом 2020 року отримала міжнародну технічну допомогу на суму понад 29 млн гривень. За вказаний період було проведено 22240 навчань і тренувань з питань цивільного захисту.</w:t>
      </w:r>
    </w:p>
    <w:p w:rsidR="00014A56" w:rsidRPr="00014A56" w:rsidRDefault="00014A56" w:rsidP="00014A56">
      <w:pPr>
        <w:autoSpaceDE w:val="0"/>
        <w:autoSpaceDN w:val="0"/>
        <w:adjustRightInd w:val="0"/>
        <w:spacing w:after="0" w:line="240" w:lineRule="auto"/>
        <w:ind w:firstLine="709"/>
        <w:jc w:val="both"/>
        <w:rPr>
          <w:rFonts w:ascii="Times New Roman" w:eastAsia="Calibri" w:hAnsi="Times New Roman" w:cs="Segoe UI"/>
          <w:sz w:val="24"/>
          <w:szCs w:val="24"/>
        </w:rPr>
      </w:pPr>
      <w:r w:rsidRPr="00014A56">
        <w:rPr>
          <w:rFonts w:ascii="Times New Roman" w:eastAsia="Calibri" w:hAnsi="Times New Roman" w:cs="Segoe UI"/>
          <w:sz w:val="24"/>
          <w:szCs w:val="24"/>
        </w:rPr>
        <w:t>Аналіз НС свідчить, що упродовж останнього десятиріччя тенденцій до їх  збільшення або зменшення не спостерігається, проте враховуючи збереження рівня наслідків НС, варто зазначити, що рівень ризиків виникнення НС природного та техногенного характеру та ризиків збитків від них залишається практично незмінним та досить високим для більшості регіонів України, що підтверджується рекордною сумою завданих НС збитків у 2020 році.</w:t>
      </w:r>
    </w:p>
    <w:p w:rsidR="00014A56" w:rsidRPr="00014A56" w:rsidRDefault="00014A56" w:rsidP="00014A56">
      <w:pPr>
        <w:pStyle w:val="ad"/>
        <w:spacing w:before="0"/>
        <w:ind w:firstLine="709"/>
        <w:jc w:val="both"/>
        <w:rPr>
          <w:rFonts w:ascii="Times New Roman" w:hAnsi="Times New Roman"/>
          <w:sz w:val="24"/>
          <w:szCs w:val="24"/>
        </w:rPr>
      </w:pPr>
      <w:r w:rsidRPr="00014A56">
        <w:rPr>
          <w:rFonts w:ascii="Times New Roman" w:hAnsi="Times New Roman"/>
          <w:sz w:val="24"/>
          <w:szCs w:val="24"/>
        </w:rPr>
        <w:t>Так, за даними останніх 10 років, спостережень в Україні щороку в середньому реєструється: 140 – 160 НС, збитки від яких становлять близько 3,3 млрд грн на рік (мінімальна сума збитків завданих НС – 102,75 млн грн у 2011 році, максимальна – 28,3 млрд грн у 2020 році).</w:t>
      </w:r>
    </w:p>
    <w:p w:rsidR="00014A56" w:rsidRPr="00014A56" w:rsidRDefault="00014A56" w:rsidP="00014A56">
      <w:pPr>
        <w:pStyle w:val="ad"/>
        <w:spacing w:before="0"/>
        <w:ind w:firstLine="709"/>
        <w:jc w:val="both"/>
        <w:rPr>
          <w:rFonts w:ascii="Times New Roman" w:hAnsi="Times New Roman"/>
          <w:sz w:val="24"/>
          <w:szCs w:val="24"/>
        </w:rPr>
      </w:pPr>
      <w:r w:rsidRPr="00014A56">
        <w:rPr>
          <w:rFonts w:ascii="Times New Roman" w:hAnsi="Times New Roman"/>
          <w:sz w:val="24"/>
          <w:szCs w:val="24"/>
        </w:rPr>
        <w:t xml:space="preserve">Аналіз усереднених статистичних даних щодо розміру прямих матеріальних збитків свідчить про тенденцію збільшення завданих однією НС збитків від 9,3 млн грн </w:t>
      </w:r>
      <w:r w:rsidRPr="00014A56">
        <w:rPr>
          <w:rFonts w:ascii="Times New Roman" w:hAnsi="Times New Roman"/>
          <w:sz w:val="24"/>
          <w:szCs w:val="24"/>
        </w:rPr>
        <w:br/>
        <w:t>до 20,9 млн гривень.</w:t>
      </w:r>
    </w:p>
    <w:p w:rsidR="00014A56" w:rsidRPr="00014A56" w:rsidRDefault="00014A56" w:rsidP="00014A56">
      <w:pPr>
        <w:spacing w:after="0" w:line="240" w:lineRule="auto"/>
        <w:ind w:firstLine="709"/>
        <w:jc w:val="both"/>
        <w:rPr>
          <w:rFonts w:ascii="Times New Roman" w:eastAsia="Times New Roman" w:hAnsi="Times New Roman" w:cs="Times New Roman"/>
          <w:sz w:val="24"/>
          <w:szCs w:val="24"/>
          <w:lang w:eastAsia="ru-RU"/>
        </w:rPr>
      </w:pPr>
      <w:r w:rsidRPr="00014A56">
        <w:rPr>
          <w:rFonts w:ascii="Times New Roman" w:eastAsia="Times New Roman" w:hAnsi="Times New Roman" w:cs="Times New Roman"/>
          <w:sz w:val="24"/>
          <w:szCs w:val="24"/>
          <w:lang w:eastAsia="ru-RU"/>
        </w:rPr>
        <w:t>Розрахований прогноз основної тенденції показує, що у 2021 році можливе виникнення 130 – 150 НС, у 2022 році – 115 – 135 НС. Песимістичний прогноз вказує, що можлива кількість НС може досягти у 2021 році - 190 НС, у 2022 році – 189 НС.</w:t>
      </w:r>
    </w:p>
    <w:p w:rsidR="00014A56" w:rsidRPr="00014A56" w:rsidRDefault="00014A56" w:rsidP="00014A56">
      <w:pPr>
        <w:spacing w:after="0" w:line="240" w:lineRule="auto"/>
        <w:ind w:firstLine="709"/>
        <w:jc w:val="both"/>
        <w:rPr>
          <w:rFonts w:ascii="Times New Roman" w:eastAsia="Times New Roman" w:hAnsi="Times New Roman" w:cs="Times New Roman"/>
          <w:sz w:val="24"/>
          <w:szCs w:val="24"/>
          <w:lang w:eastAsia="ru-RU"/>
        </w:rPr>
      </w:pPr>
      <w:r w:rsidRPr="00014A56">
        <w:rPr>
          <w:rFonts w:ascii="Times New Roman" w:eastAsia="Times New Roman" w:hAnsi="Times New Roman" w:cs="Times New Roman"/>
          <w:sz w:val="24"/>
          <w:szCs w:val="24"/>
          <w:lang w:eastAsia="ru-RU"/>
        </w:rPr>
        <w:t>При цьому, враховуючи різні сценарії прогнозу, кількість НС природного характеру знаходитиметься в діапазоні 75 – 100 НС у 2021 році, 88-108 НС у 2022 році, а кількість НС техногенного характеру – в діапазоні 45 – 70 НС у 2021 році, 45 – 65 НС у 2022 році.</w:t>
      </w:r>
    </w:p>
    <w:p w:rsidR="00014A56" w:rsidRPr="00014A56" w:rsidRDefault="00014A56" w:rsidP="00014A56">
      <w:pPr>
        <w:autoSpaceDE w:val="0"/>
        <w:autoSpaceDN w:val="0"/>
        <w:adjustRightInd w:val="0"/>
        <w:spacing w:after="0" w:line="240" w:lineRule="auto"/>
        <w:ind w:firstLine="709"/>
        <w:jc w:val="both"/>
        <w:rPr>
          <w:rFonts w:ascii="Times New Roman" w:hAnsi="Times New Roman"/>
          <w:sz w:val="24"/>
          <w:szCs w:val="24"/>
        </w:rPr>
      </w:pPr>
      <w:r w:rsidRPr="00014A56">
        <w:rPr>
          <w:rFonts w:ascii="Times New Roman" w:hAnsi="Times New Roman"/>
          <w:sz w:val="24"/>
          <w:szCs w:val="24"/>
        </w:rPr>
        <w:t xml:space="preserve">З метою запобігання виникненню НС </w:t>
      </w:r>
      <w:r w:rsidRPr="00014A56">
        <w:rPr>
          <w:rFonts w:ascii="Times New Roman" w:eastAsia="Calibri" w:hAnsi="Times New Roman" w:cs="Segoe UI"/>
          <w:sz w:val="24"/>
          <w:szCs w:val="24"/>
        </w:rPr>
        <w:t>Державна служба з надзвичайних ситуацій</w:t>
      </w:r>
      <w:r w:rsidRPr="00014A56">
        <w:rPr>
          <w:rFonts w:ascii="Times New Roman" w:hAnsi="Times New Roman"/>
          <w:sz w:val="24"/>
          <w:szCs w:val="24"/>
        </w:rPr>
        <w:t xml:space="preserve"> спільно із центральними та місцевими органами виконавчої влади здійснює прогнозування ймовірності виникнення НС, забезпечує в межах повноважень проведення навчань і тренувань з питань цивільного захисту, залучення гуманітарної та міжнародної допомоги тощо.</w:t>
      </w:r>
    </w:p>
    <w:p w:rsidR="00014A56" w:rsidRDefault="00014A56" w:rsidP="00014A56">
      <w:pPr>
        <w:pStyle w:val="ad"/>
        <w:spacing w:before="0"/>
        <w:ind w:firstLine="709"/>
        <w:jc w:val="both"/>
        <w:rPr>
          <w:rFonts w:ascii="Times New Roman" w:hAnsi="Times New Roman"/>
          <w:sz w:val="24"/>
          <w:szCs w:val="24"/>
        </w:rPr>
      </w:pPr>
    </w:p>
    <w:p w:rsidR="00014A56" w:rsidRPr="00B35C19" w:rsidRDefault="00014A56" w:rsidP="00014A56">
      <w:pPr>
        <w:rPr>
          <w:rFonts w:ascii="Times New Roman" w:hAnsi="Times New Roman"/>
          <w:color w:val="000000" w:themeColor="text1"/>
          <w:sz w:val="24"/>
          <w:szCs w:val="24"/>
        </w:rPr>
      </w:pPr>
      <w:r w:rsidRPr="00B35C19">
        <w:rPr>
          <w:rFonts w:ascii="Times New Roman" w:hAnsi="Times New Roman"/>
          <w:color w:val="000000" w:themeColor="text1"/>
          <w:sz w:val="24"/>
          <w:szCs w:val="24"/>
        </w:rPr>
        <w:br w:type="page"/>
      </w:r>
    </w:p>
    <w:p w:rsidR="00014A56" w:rsidRDefault="00014A56" w:rsidP="00014A56">
      <w:pPr>
        <w:pStyle w:val="HTML"/>
        <w:shd w:val="clear" w:color="auto" w:fill="FFFFFF"/>
        <w:tabs>
          <w:tab w:val="clear" w:pos="2748"/>
          <w:tab w:val="clear" w:pos="3664"/>
          <w:tab w:val="clear" w:pos="4580"/>
          <w:tab w:val="clear" w:pos="5496"/>
          <w:tab w:val="clear" w:pos="6412"/>
          <w:tab w:val="clear" w:pos="7328"/>
          <w:tab w:val="clear" w:pos="8244"/>
          <w:tab w:val="left" w:pos="7797"/>
          <w:tab w:val="left" w:pos="8080"/>
          <w:tab w:val="left" w:pos="8505"/>
        </w:tabs>
        <w:spacing w:before="120" w:after="120"/>
        <w:jc w:val="right"/>
        <w:textAlignment w:val="baseline"/>
        <w:rPr>
          <w:rFonts w:ascii="Times New Roman" w:hAnsi="Times New Roman"/>
          <w:bCs/>
          <w:color w:val="000000"/>
          <w:sz w:val="24"/>
          <w:szCs w:val="28"/>
          <w:lang w:val="uk-UA"/>
        </w:rPr>
      </w:pPr>
      <w:r w:rsidRPr="00BD0A00">
        <w:rPr>
          <w:rFonts w:ascii="Times New Roman" w:hAnsi="Times New Roman"/>
          <w:bCs/>
          <w:color w:val="000000"/>
          <w:sz w:val="24"/>
          <w:szCs w:val="28"/>
          <w:lang w:val="uk-UA"/>
        </w:rPr>
        <w:t>Додаток 1</w:t>
      </w:r>
    </w:p>
    <w:p w:rsidR="00014A56" w:rsidRDefault="00014A56" w:rsidP="00014A56">
      <w:pPr>
        <w:pStyle w:val="HTML"/>
        <w:shd w:val="clear" w:color="auto" w:fill="FFFFFF"/>
        <w:tabs>
          <w:tab w:val="clear" w:pos="2748"/>
          <w:tab w:val="clear" w:pos="3664"/>
          <w:tab w:val="clear" w:pos="4580"/>
          <w:tab w:val="clear" w:pos="5496"/>
          <w:tab w:val="clear" w:pos="6412"/>
          <w:tab w:val="clear" w:pos="7328"/>
          <w:tab w:val="clear" w:pos="8244"/>
          <w:tab w:val="left" w:pos="7797"/>
          <w:tab w:val="left" w:pos="8080"/>
          <w:tab w:val="left" w:pos="8505"/>
        </w:tabs>
        <w:spacing w:before="240" w:after="240"/>
        <w:jc w:val="center"/>
        <w:textAlignment w:val="baseline"/>
        <w:rPr>
          <w:rFonts w:ascii="Times New Roman" w:hAnsi="Times New Roman"/>
          <w:b/>
          <w:bCs/>
          <w:color w:val="000000"/>
          <w:sz w:val="24"/>
          <w:szCs w:val="28"/>
        </w:rPr>
      </w:pPr>
      <w:bookmarkStart w:id="11" w:name="RANGE!A2:B42"/>
      <w:r w:rsidRPr="00AF0C7E">
        <w:rPr>
          <w:rFonts w:ascii="Times New Roman" w:hAnsi="Times New Roman"/>
          <w:b/>
          <w:bCs/>
          <w:color w:val="000000"/>
          <w:sz w:val="24"/>
          <w:szCs w:val="28"/>
        </w:rPr>
        <w:t>ПЕРЕЛІК</w:t>
      </w:r>
      <w:r w:rsidRPr="00AF0C7E">
        <w:rPr>
          <w:rFonts w:ascii="Times New Roman" w:hAnsi="Times New Roman"/>
          <w:b/>
          <w:bCs/>
          <w:color w:val="000000"/>
          <w:sz w:val="24"/>
          <w:szCs w:val="28"/>
        </w:rPr>
        <w:br/>
        <w:t>суб’єктів господарювання, з якими можуть бути пов’язані найбільші фіскальні ризики</w:t>
      </w:r>
      <w:bookmarkEnd w:id="11"/>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4"/>
        <w:gridCol w:w="6662"/>
      </w:tblGrid>
      <w:tr w:rsidR="00014A56" w:rsidRPr="003D2E0C" w:rsidTr="00FE1030">
        <w:trPr>
          <w:trHeight w:val="242"/>
        </w:trPr>
        <w:tc>
          <w:tcPr>
            <w:tcW w:w="2864" w:type="dxa"/>
            <w:shd w:val="clear" w:color="auto" w:fill="auto"/>
            <w:vAlign w:val="bottom"/>
            <w:hideMark/>
          </w:tcPr>
          <w:p w:rsidR="00014A56" w:rsidRPr="003D2E0C" w:rsidRDefault="00014A56" w:rsidP="00FE1030">
            <w:pPr>
              <w:spacing w:after="40" w:line="240" w:lineRule="auto"/>
              <w:jc w:val="center"/>
              <w:rPr>
                <w:rFonts w:ascii="Times New Roman" w:hAnsi="Times New Roman" w:cs="Times New Roman"/>
                <w:b/>
                <w:bCs/>
                <w:color w:val="000000"/>
                <w:sz w:val="24"/>
                <w:szCs w:val="24"/>
              </w:rPr>
            </w:pPr>
            <w:r w:rsidRPr="003D2E0C">
              <w:rPr>
                <w:rFonts w:ascii="Times New Roman" w:hAnsi="Times New Roman" w:cs="Times New Roman"/>
                <w:b/>
                <w:bCs/>
                <w:color w:val="000000"/>
                <w:sz w:val="24"/>
                <w:szCs w:val="24"/>
              </w:rPr>
              <w:t>Код згідно з ЄДРПОУ</w:t>
            </w:r>
          </w:p>
        </w:tc>
        <w:tc>
          <w:tcPr>
            <w:tcW w:w="6662" w:type="dxa"/>
            <w:shd w:val="clear" w:color="auto" w:fill="auto"/>
            <w:vAlign w:val="bottom"/>
            <w:hideMark/>
          </w:tcPr>
          <w:p w:rsidR="00014A56" w:rsidRPr="003D2E0C" w:rsidRDefault="00014A56" w:rsidP="00FE1030">
            <w:pPr>
              <w:spacing w:after="40" w:line="240" w:lineRule="auto"/>
              <w:jc w:val="center"/>
              <w:rPr>
                <w:rFonts w:ascii="Times New Roman" w:hAnsi="Times New Roman" w:cs="Times New Roman"/>
                <w:b/>
                <w:bCs/>
                <w:color w:val="000000"/>
                <w:sz w:val="24"/>
                <w:szCs w:val="24"/>
              </w:rPr>
            </w:pPr>
            <w:r w:rsidRPr="003D2E0C">
              <w:rPr>
                <w:rFonts w:ascii="Times New Roman" w:hAnsi="Times New Roman" w:cs="Times New Roman"/>
                <w:b/>
                <w:bCs/>
                <w:color w:val="000000"/>
                <w:sz w:val="24"/>
                <w:szCs w:val="24"/>
              </w:rPr>
              <w:t>Найменування суб’єкта господарювання</w:t>
            </w:r>
          </w:p>
        </w:tc>
      </w:tr>
      <w:tr w:rsidR="00014A56" w:rsidRPr="003D2E0C" w:rsidTr="00FE1030">
        <w:trPr>
          <w:trHeight w:val="254"/>
        </w:trPr>
        <w:tc>
          <w:tcPr>
            <w:tcW w:w="9526" w:type="dxa"/>
            <w:gridSpan w:val="2"/>
            <w:shd w:val="clear" w:color="auto" w:fill="auto"/>
            <w:vAlign w:val="bottom"/>
          </w:tcPr>
          <w:p w:rsidR="00014A56" w:rsidRPr="003D2E0C" w:rsidRDefault="00014A56" w:rsidP="00FE1030">
            <w:pPr>
              <w:spacing w:after="40" w:line="240" w:lineRule="auto"/>
              <w:jc w:val="center"/>
              <w:rPr>
                <w:rFonts w:ascii="Times New Roman" w:hAnsi="Times New Roman" w:cs="Times New Roman"/>
                <w:bCs/>
                <w:color w:val="000000"/>
                <w:sz w:val="24"/>
                <w:szCs w:val="24"/>
              </w:rPr>
            </w:pPr>
            <w:r w:rsidRPr="003D2E0C">
              <w:rPr>
                <w:rFonts w:ascii="Times New Roman" w:hAnsi="Times New Roman" w:cs="Times New Roman"/>
                <w:bCs/>
                <w:color w:val="000000"/>
                <w:sz w:val="24"/>
                <w:szCs w:val="24"/>
              </w:rPr>
              <w:t>Кабінет Міністрів</w:t>
            </w:r>
          </w:p>
        </w:tc>
      </w:tr>
      <w:tr w:rsidR="00014A56" w:rsidRPr="003D2E0C" w:rsidTr="00FE1030">
        <w:trPr>
          <w:trHeight w:val="350"/>
        </w:trPr>
        <w:tc>
          <w:tcPr>
            <w:tcW w:w="2864" w:type="dxa"/>
            <w:shd w:val="clear" w:color="000000" w:fill="FFFFFF"/>
            <w:vAlign w:val="center"/>
            <w:hideMark/>
          </w:tcPr>
          <w:p w:rsidR="00014A56" w:rsidRPr="003D2E0C" w:rsidRDefault="00014A56" w:rsidP="00FE1030">
            <w:pPr>
              <w:spacing w:after="40" w:line="240" w:lineRule="auto"/>
              <w:jc w:val="center"/>
              <w:rPr>
                <w:rFonts w:ascii="Times New Roman" w:hAnsi="Times New Roman" w:cs="Times New Roman"/>
                <w:sz w:val="24"/>
                <w:szCs w:val="24"/>
              </w:rPr>
            </w:pPr>
            <w:r w:rsidRPr="003D2E0C">
              <w:rPr>
                <w:rFonts w:ascii="Times New Roman" w:hAnsi="Times New Roman" w:cs="Times New Roman"/>
                <w:sz w:val="24"/>
                <w:szCs w:val="24"/>
              </w:rPr>
              <w:t>20077720</w:t>
            </w:r>
          </w:p>
        </w:tc>
        <w:tc>
          <w:tcPr>
            <w:tcW w:w="6662" w:type="dxa"/>
            <w:shd w:val="clear" w:color="000000" w:fill="FFFFFF"/>
            <w:vAlign w:val="center"/>
            <w:hideMark/>
          </w:tcPr>
          <w:p w:rsidR="00014A56" w:rsidRPr="003D2E0C" w:rsidRDefault="00014A56" w:rsidP="00FE1030">
            <w:pPr>
              <w:spacing w:after="40" w:line="240" w:lineRule="auto"/>
              <w:rPr>
                <w:rFonts w:ascii="Times New Roman" w:hAnsi="Times New Roman" w:cs="Times New Roman"/>
                <w:sz w:val="24"/>
                <w:szCs w:val="24"/>
              </w:rPr>
            </w:pPr>
            <w:r w:rsidRPr="003D2E0C">
              <w:rPr>
                <w:rFonts w:ascii="Times New Roman" w:hAnsi="Times New Roman" w:cs="Times New Roman"/>
                <w:sz w:val="24"/>
                <w:szCs w:val="24"/>
              </w:rPr>
              <w:t>НАК "Нафтогаз України"</w:t>
            </w:r>
          </w:p>
        </w:tc>
      </w:tr>
      <w:tr w:rsidR="00014A56" w:rsidRPr="003D2E0C" w:rsidTr="00FE1030">
        <w:trPr>
          <w:trHeight w:val="350"/>
        </w:trPr>
        <w:tc>
          <w:tcPr>
            <w:tcW w:w="2864" w:type="dxa"/>
            <w:shd w:val="clear" w:color="000000" w:fill="FFFFFF"/>
          </w:tcPr>
          <w:p w:rsidR="00014A56" w:rsidRPr="003D2E0C" w:rsidRDefault="00014A56" w:rsidP="00FE1030">
            <w:pPr>
              <w:spacing w:after="40" w:line="240" w:lineRule="auto"/>
              <w:jc w:val="center"/>
              <w:rPr>
                <w:rFonts w:ascii="Times New Roman" w:hAnsi="Times New Roman" w:cs="Times New Roman"/>
                <w:sz w:val="24"/>
                <w:szCs w:val="24"/>
              </w:rPr>
            </w:pPr>
            <w:r w:rsidRPr="003D2E0C">
              <w:rPr>
                <w:rFonts w:ascii="Times New Roman" w:hAnsi="Times New Roman" w:cs="Times New Roman"/>
                <w:sz w:val="24"/>
                <w:szCs w:val="24"/>
              </w:rPr>
              <w:t>21515381</w:t>
            </w:r>
          </w:p>
        </w:tc>
        <w:tc>
          <w:tcPr>
            <w:tcW w:w="6662" w:type="dxa"/>
            <w:shd w:val="clear" w:color="000000" w:fill="FFFFFF"/>
          </w:tcPr>
          <w:p w:rsidR="00014A56" w:rsidRPr="003D2E0C" w:rsidRDefault="00014A56" w:rsidP="00FE1030">
            <w:pPr>
              <w:spacing w:after="40" w:line="240" w:lineRule="auto"/>
              <w:rPr>
                <w:rFonts w:ascii="Times New Roman" w:hAnsi="Times New Roman" w:cs="Times New Roman"/>
                <w:sz w:val="24"/>
                <w:szCs w:val="24"/>
              </w:rPr>
            </w:pPr>
            <w:r w:rsidRPr="003D2E0C">
              <w:rPr>
                <w:rFonts w:ascii="Times New Roman" w:hAnsi="Times New Roman" w:cs="Times New Roman"/>
                <w:sz w:val="24"/>
                <w:szCs w:val="24"/>
              </w:rPr>
              <w:t>ДП "Енергоринок"</w:t>
            </w:r>
          </w:p>
        </w:tc>
      </w:tr>
      <w:tr w:rsidR="00014A56" w:rsidRPr="003D2E0C" w:rsidTr="00FE1030">
        <w:trPr>
          <w:trHeight w:val="350"/>
        </w:trPr>
        <w:tc>
          <w:tcPr>
            <w:tcW w:w="2864" w:type="dxa"/>
            <w:shd w:val="clear" w:color="000000" w:fill="FFFFFF"/>
            <w:vAlign w:val="center"/>
          </w:tcPr>
          <w:p w:rsidR="00014A56" w:rsidRPr="003D2E0C" w:rsidRDefault="00014A56" w:rsidP="00FE1030">
            <w:pPr>
              <w:spacing w:after="40" w:line="240" w:lineRule="auto"/>
              <w:jc w:val="center"/>
              <w:rPr>
                <w:rFonts w:ascii="Times New Roman" w:hAnsi="Times New Roman" w:cs="Times New Roman"/>
                <w:sz w:val="24"/>
                <w:szCs w:val="24"/>
              </w:rPr>
            </w:pPr>
            <w:r w:rsidRPr="003D2E0C">
              <w:rPr>
                <w:rFonts w:ascii="Times New Roman" w:hAnsi="Times New Roman" w:cs="Times New Roman"/>
                <w:sz w:val="24"/>
                <w:szCs w:val="24"/>
              </w:rPr>
              <w:t>40075815</w:t>
            </w:r>
          </w:p>
        </w:tc>
        <w:tc>
          <w:tcPr>
            <w:tcW w:w="6662" w:type="dxa"/>
            <w:shd w:val="clear" w:color="000000" w:fill="FFFFFF"/>
            <w:vAlign w:val="center"/>
          </w:tcPr>
          <w:p w:rsidR="00014A56" w:rsidRPr="003D2E0C" w:rsidRDefault="00014A56" w:rsidP="00FE1030">
            <w:pPr>
              <w:spacing w:after="40" w:line="240" w:lineRule="auto"/>
              <w:rPr>
                <w:rFonts w:ascii="Times New Roman" w:hAnsi="Times New Roman" w:cs="Times New Roman"/>
                <w:sz w:val="24"/>
                <w:szCs w:val="24"/>
              </w:rPr>
            </w:pPr>
            <w:r w:rsidRPr="003D2E0C">
              <w:rPr>
                <w:rFonts w:ascii="Times New Roman" w:hAnsi="Times New Roman" w:cs="Times New Roman"/>
                <w:sz w:val="24"/>
                <w:szCs w:val="24"/>
              </w:rPr>
              <w:t>АТ "Українська залізниця"</w:t>
            </w:r>
          </w:p>
        </w:tc>
      </w:tr>
      <w:tr w:rsidR="00014A56" w:rsidRPr="003D2E0C" w:rsidTr="00FE1030">
        <w:trPr>
          <w:trHeight w:val="350"/>
        </w:trPr>
        <w:tc>
          <w:tcPr>
            <w:tcW w:w="2864" w:type="dxa"/>
            <w:shd w:val="clear" w:color="000000" w:fill="FFFFFF"/>
            <w:vAlign w:val="center"/>
          </w:tcPr>
          <w:p w:rsidR="00014A56" w:rsidRPr="003D2E0C" w:rsidRDefault="00014A56" w:rsidP="00FE1030">
            <w:pPr>
              <w:spacing w:after="40" w:line="240" w:lineRule="auto"/>
              <w:jc w:val="center"/>
              <w:rPr>
                <w:rFonts w:ascii="Times New Roman" w:hAnsi="Times New Roman" w:cs="Times New Roman"/>
                <w:sz w:val="24"/>
                <w:szCs w:val="24"/>
              </w:rPr>
            </w:pPr>
            <w:r w:rsidRPr="003D2E0C">
              <w:rPr>
                <w:rFonts w:ascii="Times New Roman" w:hAnsi="Times New Roman" w:cs="Times New Roman"/>
                <w:sz w:val="24"/>
                <w:szCs w:val="24"/>
              </w:rPr>
              <w:t>43068454</w:t>
            </w:r>
          </w:p>
        </w:tc>
        <w:tc>
          <w:tcPr>
            <w:tcW w:w="6662" w:type="dxa"/>
            <w:shd w:val="clear" w:color="000000" w:fill="FFFFFF"/>
            <w:vAlign w:val="center"/>
          </w:tcPr>
          <w:p w:rsidR="00014A56" w:rsidRPr="003D2E0C" w:rsidRDefault="00014A56" w:rsidP="00FE1030">
            <w:pPr>
              <w:spacing w:after="40" w:line="240" w:lineRule="auto"/>
              <w:rPr>
                <w:rFonts w:ascii="Times New Roman" w:hAnsi="Times New Roman" w:cs="Times New Roman"/>
                <w:sz w:val="24"/>
                <w:szCs w:val="24"/>
              </w:rPr>
            </w:pPr>
            <w:r w:rsidRPr="003D2E0C">
              <w:rPr>
                <w:rFonts w:ascii="Times New Roman" w:hAnsi="Times New Roman" w:cs="Times New Roman"/>
                <w:sz w:val="24"/>
                <w:szCs w:val="24"/>
              </w:rPr>
              <w:t>ДП "Гарантований покупець"</w:t>
            </w:r>
          </w:p>
        </w:tc>
      </w:tr>
      <w:tr w:rsidR="00014A56" w:rsidRPr="003D2E0C" w:rsidTr="00FE1030">
        <w:trPr>
          <w:trHeight w:val="350"/>
        </w:trPr>
        <w:tc>
          <w:tcPr>
            <w:tcW w:w="2864" w:type="dxa"/>
            <w:shd w:val="clear" w:color="000000" w:fill="FFFFFF"/>
            <w:vAlign w:val="center"/>
          </w:tcPr>
          <w:p w:rsidR="00014A56" w:rsidRPr="003D2E0C" w:rsidRDefault="00014A56" w:rsidP="00FE1030">
            <w:pPr>
              <w:spacing w:after="40" w:line="240" w:lineRule="auto"/>
              <w:jc w:val="center"/>
              <w:rPr>
                <w:rFonts w:ascii="Times New Roman" w:hAnsi="Times New Roman" w:cs="Times New Roman"/>
                <w:sz w:val="24"/>
                <w:szCs w:val="24"/>
              </w:rPr>
            </w:pPr>
            <w:r w:rsidRPr="003D2E0C">
              <w:rPr>
                <w:rFonts w:ascii="Times New Roman" w:hAnsi="Times New Roman" w:cs="Times New Roman"/>
                <w:sz w:val="24"/>
                <w:szCs w:val="24"/>
              </w:rPr>
              <w:t>24584661</w:t>
            </w:r>
          </w:p>
        </w:tc>
        <w:tc>
          <w:tcPr>
            <w:tcW w:w="6662" w:type="dxa"/>
            <w:shd w:val="clear" w:color="000000" w:fill="FFFFFF"/>
            <w:vAlign w:val="center"/>
          </w:tcPr>
          <w:p w:rsidR="00014A56" w:rsidRPr="003D2E0C" w:rsidRDefault="00014A56" w:rsidP="00FE1030">
            <w:pPr>
              <w:spacing w:after="40" w:line="240" w:lineRule="auto"/>
              <w:rPr>
                <w:rFonts w:ascii="Times New Roman" w:hAnsi="Times New Roman" w:cs="Times New Roman"/>
                <w:sz w:val="24"/>
                <w:szCs w:val="24"/>
              </w:rPr>
            </w:pPr>
            <w:r w:rsidRPr="003D2E0C">
              <w:rPr>
                <w:rFonts w:ascii="Times New Roman" w:hAnsi="Times New Roman" w:cs="Times New Roman"/>
                <w:sz w:val="24"/>
                <w:szCs w:val="24"/>
              </w:rPr>
              <w:t>ДП "НАЕК "Енергоатом"</w:t>
            </w:r>
          </w:p>
        </w:tc>
      </w:tr>
      <w:tr w:rsidR="00014A56" w:rsidRPr="003D2E0C" w:rsidTr="00FE1030">
        <w:trPr>
          <w:trHeight w:val="350"/>
        </w:trPr>
        <w:tc>
          <w:tcPr>
            <w:tcW w:w="2864" w:type="dxa"/>
            <w:shd w:val="clear" w:color="000000" w:fill="FFFFFF"/>
            <w:vAlign w:val="center"/>
          </w:tcPr>
          <w:p w:rsidR="00014A56" w:rsidRPr="003D2E0C" w:rsidRDefault="00014A56" w:rsidP="00FE1030">
            <w:pPr>
              <w:spacing w:after="40" w:line="240" w:lineRule="auto"/>
              <w:jc w:val="center"/>
              <w:rPr>
                <w:rFonts w:ascii="Times New Roman" w:hAnsi="Times New Roman" w:cs="Times New Roman"/>
                <w:sz w:val="24"/>
                <w:szCs w:val="24"/>
              </w:rPr>
            </w:pPr>
            <w:r w:rsidRPr="003D2E0C">
              <w:rPr>
                <w:rFonts w:ascii="Times New Roman" w:hAnsi="Times New Roman" w:cs="Times New Roman"/>
                <w:sz w:val="24"/>
                <w:szCs w:val="24"/>
              </w:rPr>
              <w:t>20588716</w:t>
            </w:r>
          </w:p>
        </w:tc>
        <w:tc>
          <w:tcPr>
            <w:tcW w:w="6662" w:type="dxa"/>
            <w:shd w:val="clear" w:color="000000" w:fill="FFFFFF"/>
            <w:vAlign w:val="center"/>
          </w:tcPr>
          <w:p w:rsidR="00014A56" w:rsidRPr="003D2E0C" w:rsidRDefault="00014A56" w:rsidP="00FE1030">
            <w:pPr>
              <w:spacing w:after="40" w:line="240" w:lineRule="auto"/>
              <w:rPr>
                <w:rFonts w:ascii="Times New Roman" w:hAnsi="Times New Roman" w:cs="Times New Roman"/>
                <w:sz w:val="24"/>
                <w:szCs w:val="24"/>
              </w:rPr>
            </w:pPr>
            <w:r w:rsidRPr="003D2E0C">
              <w:rPr>
                <w:rFonts w:ascii="Times New Roman" w:hAnsi="Times New Roman" w:cs="Times New Roman"/>
                <w:sz w:val="24"/>
                <w:szCs w:val="24"/>
              </w:rPr>
              <w:t>ПрАТ "</w:t>
            </w:r>
            <w:proofErr w:type="spellStart"/>
            <w:r w:rsidRPr="003D2E0C">
              <w:rPr>
                <w:rFonts w:ascii="Times New Roman" w:hAnsi="Times New Roman" w:cs="Times New Roman"/>
                <w:sz w:val="24"/>
                <w:szCs w:val="24"/>
              </w:rPr>
              <w:t>Укргідроенерго</w:t>
            </w:r>
            <w:proofErr w:type="spellEnd"/>
            <w:r w:rsidRPr="003D2E0C">
              <w:rPr>
                <w:rFonts w:ascii="Times New Roman" w:hAnsi="Times New Roman" w:cs="Times New Roman"/>
                <w:sz w:val="24"/>
                <w:szCs w:val="24"/>
              </w:rPr>
              <w:t>"</w:t>
            </w:r>
          </w:p>
        </w:tc>
      </w:tr>
      <w:tr w:rsidR="00014A56" w:rsidRPr="003D2E0C" w:rsidTr="00FE1030">
        <w:trPr>
          <w:trHeight w:val="335"/>
        </w:trPr>
        <w:tc>
          <w:tcPr>
            <w:tcW w:w="9526" w:type="dxa"/>
            <w:gridSpan w:val="2"/>
            <w:shd w:val="clear" w:color="auto" w:fill="auto"/>
            <w:vAlign w:val="bottom"/>
            <w:hideMark/>
          </w:tcPr>
          <w:p w:rsidR="00014A56" w:rsidRPr="003D2E0C" w:rsidRDefault="00014A56" w:rsidP="00FE1030">
            <w:pPr>
              <w:spacing w:after="40" w:line="240" w:lineRule="auto"/>
              <w:jc w:val="center"/>
              <w:rPr>
                <w:rFonts w:ascii="Times New Roman" w:hAnsi="Times New Roman" w:cs="Times New Roman"/>
                <w:bCs/>
                <w:color w:val="000000"/>
                <w:sz w:val="24"/>
                <w:szCs w:val="24"/>
              </w:rPr>
            </w:pPr>
            <w:r w:rsidRPr="003D2E0C">
              <w:rPr>
                <w:rFonts w:ascii="Times New Roman" w:hAnsi="Times New Roman" w:cs="Times New Roman"/>
                <w:bCs/>
                <w:color w:val="000000"/>
                <w:sz w:val="24"/>
                <w:szCs w:val="24"/>
              </w:rPr>
              <w:t>Мінекономіки</w:t>
            </w:r>
          </w:p>
        </w:tc>
      </w:tr>
      <w:tr w:rsidR="00014A56" w:rsidRPr="003D2E0C" w:rsidTr="00FE1030">
        <w:trPr>
          <w:trHeight w:val="350"/>
        </w:trPr>
        <w:tc>
          <w:tcPr>
            <w:tcW w:w="2864" w:type="dxa"/>
            <w:shd w:val="clear" w:color="000000" w:fill="FFFFFF"/>
            <w:vAlign w:val="center"/>
            <w:hideMark/>
          </w:tcPr>
          <w:p w:rsidR="00014A56" w:rsidRPr="003D2E0C" w:rsidRDefault="00014A56" w:rsidP="00FE1030">
            <w:pPr>
              <w:spacing w:after="40" w:line="240" w:lineRule="auto"/>
              <w:jc w:val="center"/>
              <w:rPr>
                <w:rFonts w:ascii="Times New Roman" w:hAnsi="Times New Roman" w:cs="Times New Roman"/>
                <w:sz w:val="24"/>
                <w:szCs w:val="24"/>
              </w:rPr>
            </w:pPr>
            <w:r w:rsidRPr="003D2E0C">
              <w:rPr>
                <w:rFonts w:ascii="Times New Roman" w:hAnsi="Times New Roman" w:cs="Times New Roman"/>
                <w:sz w:val="24"/>
                <w:szCs w:val="24"/>
              </w:rPr>
              <w:t>37243279</w:t>
            </w:r>
          </w:p>
        </w:tc>
        <w:tc>
          <w:tcPr>
            <w:tcW w:w="6662" w:type="dxa"/>
            <w:shd w:val="clear" w:color="000000" w:fill="FFFFFF"/>
            <w:vAlign w:val="center"/>
            <w:hideMark/>
          </w:tcPr>
          <w:p w:rsidR="00014A56" w:rsidRPr="003D2E0C" w:rsidRDefault="00014A56" w:rsidP="00FE1030">
            <w:pPr>
              <w:spacing w:after="40" w:line="240" w:lineRule="auto"/>
              <w:rPr>
                <w:rFonts w:ascii="Times New Roman" w:hAnsi="Times New Roman" w:cs="Times New Roman"/>
                <w:sz w:val="24"/>
                <w:szCs w:val="24"/>
              </w:rPr>
            </w:pPr>
            <w:r w:rsidRPr="003D2E0C">
              <w:rPr>
                <w:rFonts w:ascii="Times New Roman" w:hAnsi="Times New Roman" w:cs="Times New Roman"/>
                <w:sz w:val="24"/>
                <w:szCs w:val="24"/>
              </w:rPr>
              <w:t xml:space="preserve">АТ "Державна </w:t>
            </w:r>
            <w:proofErr w:type="spellStart"/>
            <w:r w:rsidRPr="003D2E0C">
              <w:rPr>
                <w:rFonts w:ascii="Times New Roman" w:hAnsi="Times New Roman" w:cs="Times New Roman"/>
                <w:sz w:val="24"/>
                <w:szCs w:val="24"/>
              </w:rPr>
              <w:t>продовольчо</w:t>
            </w:r>
            <w:proofErr w:type="spellEnd"/>
            <w:r w:rsidRPr="003D2E0C">
              <w:rPr>
                <w:rFonts w:ascii="Times New Roman" w:hAnsi="Times New Roman" w:cs="Times New Roman"/>
                <w:sz w:val="24"/>
                <w:szCs w:val="24"/>
              </w:rPr>
              <w:t>-зернова корпорація України"</w:t>
            </w:r>
          </w:p>
        </w:tc>
      </w:tr>
      <w:tr w:rsidR="00014A56" w:rsidRPr="003D2E0C" w:rsidTr="00FE1030">
        <w:trPr>
          <w:trHeight w:val="347"/>
        </w:trPr>
        <w:tc>
          <w:tcPr>
            <w:tcW w:w="9526" w:type="dxa"/>
            <w:gridSpan w:val="2"/>
            <w:shd w:val="clear" w:color="auto" w:fill="auto"/>
            <w:vAlign w:val="bottom"/>
            <w:hideMark/>
          </w:tcPr>
          <w:p w:rsidR="00014A56" w:rsidRPr="003D2E0C" w:rsidRDefault="00014A56" w:rsidP="00FE1030">
            <w:pPr>
              <w:spacing w:after="40" w:line="240" w:lineRule="auto"/>
              <w:jc w:val="center"/>
              <w:rPr>
                <w:rFonts w:ascii="Times New Roman" w:hAnsi="Times New Roman" w:cs="Times New Roman"/>
                <w:bCs/>
                <w:color w:val="000000"/>
                <w:sz w:val="24"/>
                <w:szCs w:val="24"/>
              </w:rPr>
            </w:pPr>
            <w:r w:rsidRPr="003D2E0C">
              <w:rPr>
                <w:rFonts w:ascii="Times New Roman" w:hAnsi="Times New Roman" w:cs="Times New Roman"/>
                <w:bCs/>
                <w:color w:val="000000"/>
                <w:sz w:val="24"/>
                <w:szCs w:val="24"/>
              </w:rPr>
              <w:t>Міненерго</w:t>
            </w:r>
          </w:p>
        </w:tc>
      </w:tr>
      <w:tr w:rsidR="00014A56" w:rsidRPr="003D2E0C" w:rsidTr="00FE1030">
        <w:trPr>
          <w:trHeight w:val="310"/>
        </w:trPr>
        <w:tc>
          <w:tcPr>
            <w:tcW w:w="2864" w:type="dxa"/>
            <w:shd w:val="clear" w:color="000000" w:fill="FFFFFF"/>
            <w:vAlign w:val="center"/>
          </w:tcPr>
          <w:p w:rsidR="00014A56" w:rsidRPr="003D2E0C" w:rsidRDefault="00014A56" w:rsidP="00FE1030">
            <w:pPr>
              <w:spacing w:after="40" w:line="240" w:lineRule="auto"/>
              <w:jc w:val="center"/>
              <w:rPr>
                <w:rFonts w:ascii="Times New Roman" w:hAnsi="Times New Roman" w:cs="Times New Roman"/>
                <w:sz w:val="24"/>
                <w:szCs w:val="24"/>
              </w:rPr>
            </w:pPr>
            <w:r w:rsidRPr="003D2E0C">
              <w:rPr>
                <w:rFonts w:ascii="Times New Roman" w:hAnsi="Times New Roman" w:cs="Times New Roman"/>
                <w:sz w:val="24"/>
                <w:szCs w:val="24"/>
              </w:rPr>
              <w:t>32402870</w:t>
            </w:r>
          </w:p>
        </w:tc>
        <w:tc>
          <w:tcPr>
            <w:tcW w:w="6662" w:type="dxa"/>
            <w:shd w:val="clear" w:color="000000" w:fill="FFFFFF"/>
            <w:vAlign w:val="center"/>
          </w:tcPr>
          <w:p w:rsidR="00014A56" w:rsidRPr="003D2E0C" w:rsidRDefault="00014A56" w:rsidP="00FE1030">
            <w:pPr>
              <w:spacing w:after="40" w:line="240" w:lineRule="auto"/>
              <w:rPr>
                <w:rFonts w:ascii="Times New Roman" w:hAnsi="Times New Roman" w:cs="Times New Roman"/>
                <w:sz w:val="24"/>
                <w:szCs w:val="24"/>
              </w:rPr>
            </w:pPr>
            <w:r w:rsidRPr="003D2E0C">
              <w:rPr>
                <w:rFonts w:ascii="Times New Roman" w:hAnsi="Times New Roman" w:cs="Times New Roman"/>
                <w:sz w:val="24"/>
                <w:szCs w:val="24"/>
              </w:rPr>
              <w:t>ДП "Регіональні електричні мережі"</w:t>
            </w:r>
          </w:p>
        </w:tc>
      </w:tr>
      <w:tr w:rsidR="00014A56" w:rsidRPr="003D2E0C" w:rsidTr="00FE1030">
        <w:trPr>
          <w:trHeight w:val="310"/>
        </w:trPr>
        <w:tc>
          <w:tcPr>
            <w:tcW w:w="2864" w:type="dxa"/>
            <w:shd w:val="clear" w:color="000000" w:fill="FFFFFF"/>
            <w:vAlign w:val="center"/>
          </w:tcPr>
          <w:p w:rsidR="00014A56" w:rsidRPr="003D2E0C" w:rsidRDefault="00014A56" w:rsidP="00FE1030">
            <w:pPr>
              <w:spacing w:after="40" w:line="240" w:lineRule="auto"/>
              <w:jc w:val="center"/>
              <w:rPr>
                <w:rFonts w:ascii="Times New Roman" w:hAnsi="Times New Roman" w:cs="Times New Roman"/>
                <w:sz w:val="24"/>
                <w:szCs w:val="24"/>
              </w:rPr>
            </w:pPr>
            <w:r w:rsidRPr="003D2E0C">
              <w:rPr>
                <w:rFonts w:ascii="Times New Roman" w:hAnsi="Times New Roman" w:cs="Times New Roman"/>
                <w:sz w:val="24"/>
                <w:szCs w:val="24"/>
              </w:rPr>
              <w:t>32359108</w:t>
            </w:r>
          </w:p>
        </w:tc>
        <w:tc>
          <w:tcPr>
            <w:tcW w:w="6662" w:type="dxa"/>
            <w:shd w:val="clear" w:color="000000" w:fill="FFFFFF"/>
            <w:vAlign w:val="center"/>
          </w:tcPr>
          <w:p w:rsidR="00014A56" w:rsidRPr="003D2E0C" w:rsidRDefault="00014A56" w:rsidP="00FE1030">
            <w:pPr>
              <w:spacing w:after="40" w:line="240" w:lineRule="auto"/>
              <w:rPr>
                <w:rFonts w:ascii="Times New Roman" w:hAnsi="Times New Roman" w:cs="Times New Roman"/>
                <w:sz w:val="24"/>
                <w:szCs w:val="24"/>
              </w:rPr>
            </w:pPr>
            <w:r w:rsidRPr="003D2E0C">
              <w:rPr>
                <w:rFonts w:ascii="Times New Roman" w:hAnsi="Times New Roman" w:cs="Times New Roman"/>
                <w:sz w:val="24"/>
                <w:szCs w:val="24"/>
              </w:rPr>
              <w:t>ПАТ "</w:t>
            </w:r>
            <w:proofErr w:type="spellStart"/>
            <w:r w:rsidRPr="003D2E0C">
              <w:rPr>
                <w:rFonts w:ascii="Times New Roman" w:hAnsi="Times New Roman" w:cs="Times New Roman"/>
                <w:sz w:val="24"/>
                <w:szCs w:val="24"/>
              </w:rPr>
              <w:t>Лисичанськвугілля</w:t>
            </w:r>
            <w:proofErr w:type="spellEnd"/>
            <w:r w:rsidRPr="003D2E0C">
              <w:rPr>
                <w:rFonts w:ascii="Times New Roman" w:hAnsi="Times New Roman" w:cs="Times New Roman"/>
                <w:sz w:val="24"/>
                <w:szCs w:val="24"/>
              </w:rPr>
              <w:t>"</w:t>
            </w:r>
          </w:p>
        </w:tc>
      </w:tr>
      <w:tr w:rsidR="00014A56" w:rsidRPr="003D2E0C" w:rsidTr="00FE1030">
        <w:trPr>
          <w:trHeight w:val="428"/>
        </w:trPr>
        <w:tc>
          <w:tcPr>
            <w:tcW w:w="2864" w:type="dxa"/>
            <w:shd w:val="clear" w:color="000000" w:fill="FFFFFF"/>
            <w:vAlign w:val="center"/>
          </w:tcPr>
          <w:p w:rsidR="00014A56" w:rsidRPr="003D2E0C" w:rsidRDefault="00014A56" w:rsidP="00FE1030">
            <w:pPr>
              <w:spacing w:after="40" w:line="240" w:lineRule="auto"/>
              <w:jc w:val="center"/>
              <w:rPr>
                <w:rFonts w:ascii="Times New Roman" w:hAnsi="Times New Roman" w:cs="Times New Roman"/>
                <w:sz w:val="24"/>
                <w:szCs w:val="24"/>
              </w:rPr>
            </w:pPr>
            <w:r w:rsidRPr="003D2E0C">
              <w:rPr>
                <w:rFonts w:ascii="Times New Roman" w:hAnsi="Times New Roman" w:cs="Times New Roman"/>
                <w:sz w:val="24"/>
                <w:szCs w:val="24"/>
              </w:rPr>
              <w:t>33426253</w:t>
            </w:r>
          </w:p>
        </w:tc>
        <w:tc>
          <w:tcPr>
            <w:tcW w:w="6662" w:type="dxa"/>
            <w:shd w:val="clear" w:color="000000" w:fill="FFFFFF"/>
            <w:vAlign w:val="center"/>
          </w:tcPr>
          <w:p w:rsidR="00014A56" w:rsidRPr="003D2E0C" w:rsidRDefault="00014A56" w:rsidP="00FE1030">
            <w:pPr>
              <w:spacing w:after="40" w:line="240" w:lineRule="auto"/>
              <w:rPr>
                <w:rFonts w:ascii="Times New Roman" w:hAnsi="Times New Roman" w:cs="Times New Roman"/>
                <w:sz w:val="24"/>
                <w:szCs w:val="24"/>
              </w:rPr>
            </w:pPr>
            <w:r w:rsidRPr="003D2E0C">
              <w:rPr>
                <w:rFonts w:ascii="Times New Roman" w:hAnsi="Times New Roman" w:cs="Times New Roman"/>
                <w:sz w:val="24"/>
                <w:szCs w:val="24"/>
              </w:rPr>
              <w:t>ДП "</w:t>
            </w:r>
            <w:proofErr w:type="spellStart"/>
            <w:r w:rsidRPr="003D2E0C">
              <w:rPr>
                <w:rFonts w:ascii="Times New Roman" w:hAnsi="Times New Roman" w:cs="Times New Roman"/>
                <w:sz w:val="24"/>
                <w:szCs w:val="24"/>
              </w:rPr>
              <w:t>Селидіввугілля</w:t>
            </w:r>
            <w:proofErr w:type="spellEnd"/>
            <w:r w:rsidRPr="003D2E0C">
              <w:rPr>
                <w:rFonts w:ascii="Times New Roman" w:hAnsi="Times New Roman" w:cs="Times New Roman"/>
                <w:sz w:val="24"/>
                <w:szCs w:val="24"/>
              </w:rPr>
              <w:t>"</w:t>
            </w:r>
          </w:p>
        </w:tc>
      </w:tr>
      <w:tr w:rsidR="00014A56" w:rsidRPr="003D2E0C" w:rsidTr="00FE1030">
        <w:trPr>
          <w:trHeight w:val="310"/>
        </w:trPr>
        <w:tc>
          <w:tcPr>
            <w:tcW w:w="2864" w:type="dxa"/>
            <w:shd w:val="clear" w:color="000000" w:fill="FFFFFF"/>
            <w:vAlign w:val="center"/>
            <w:hideMark/>
          </w:tcPr>
          <w:p w:rsidR="00014A56" w:rsidRPr="003D2E0C" w:rsidRDefault="00014A56" w:rsidP="00FE1030">
            <w:pPr>
              <w:spacing w:after="40" w:line="240" w:lineRule="auto"/>
              <w:jc w:val="center"/>
              <w:rPr>
                <w:rFonts w:ascii="Times New Roman" w:hAnsi="Times New Roman" w:cs="Times New Roman"/>
                <w:sz w:val="24"/>
                <w:szCs w:val="24"/>
              </w:rPr>
            </w:pPr>
            <w:r w:rsidRPr="003D2E0C">
              <w:rPr>
                <w:rFonts w:ascii="Times New Roman" w:hAnsi="Times New Roman" w:cs="Times New Roman"/>
                <w:sz w:val="24"/>
                <w:szCs w:val="24"/>
              </w:rPr>
              <w:t>32087941</w:t>
            </w:r>
          </w:p>
        </w:tc>
        <w:tc>
          <w:tcPr>
            <w:tcW w:w="6662" w:type="dxa"/>
            <w:shd w:val="clear" w:color="000000" w:fill="FFFFFF"/>
            <w:vAlign w:val="center"/>
            <w:hideMark/>
          </w:tcPr>
          <w:p w:rsidR="00014A56" w:rsidRPr="003D2E0C" w:rsidRDefault="00014A56" w:rsidP="00FE1030">
            <w:pPr>
              <w:spacing w:after="40" w:line="240" w:lineRule="auto"/>
              <w:rPr>
                <w:rFonts w:ascii="Times New Roman" w:hAnsi="Times New Roman" w:cs="Times New Roman"/>
                <w:sz w:val="24"/>
                <w:szCs w:val="24"/>
              </w:rPr>
            </w:pPr>
            <w:r w:rsidRPr="003D2E0C">
              <w:rPr>
                <w:rFonts w:ascii="Times New Roman" w:hAnsi="Times New Roman" w:cs="Times New Roman"/>
                <w:sz w:val="24"/>
                <w:szCs w:val="24"/>
              </w:rPr>
              <w:t>ДП "</w:t>
            </w:r>
            <w:proofErr w:type="spellStart"/>
            <w:r w:rsidRPr="003D2E0C">
              <w:rPr>
                <w:rFonts w:ascii="Times New Roman" w:hAnsi="Times New Roman" w:cs="Times New Roman"/>
                <w:sz w:val="24"/>
                <w:szCs w:val="24"/>
              </w:rPr>
              <w:t>Мирноградвугілля</w:t>
            </w:r>
            <w:proofErr w:type="spellEnd"/>
            <w:r w:rsidRPr="003D2E0C">
              <w:rPr>
                <w:rFonts w:ascii="Times New Roman" w:hAnsi="Times New Roman" w:cs="Times New Roman"/>
                <w:sz w:val="24"/>
                <w:szCs w:val="24"/>
              </w:rPr>
              <w:t>"</w:t>
            </w:r>
          </w:p>
        </w:tc>
      </w:tr>
      <w:tr w:rsidR="00014A56" w:rsidRPr="003D2E0C" w:rsidTr="00FE1030">
        <w:trPr>
          <w:trHeight w:val="310"/>
        </w:trPr>
        <w:tc>
          <w:tcPr>
            <w:tcW w:w="2864" w:type="dxa"/>
            <w:shd w:val="clear" w:color="000000" w:fill="FFFFFF"/>
            <w:vAlign w:val="center"/>
          </w:tcPr>
          <w:p w:rsidR="00014A56" w:rsidRPr="003D2E0C" w:rsidRDefault="00014A56" w:rsidP="00FE1030">
            <w:pPr>
              <w:spacing w:after="40" w:line="240" w:lineRule="auto"/>
              <w:jc w:val="center"/>
              <w:rPr>
                <w:rFonts w:ascii="Times New Roman" w:hAnsi="Times New Roman" w:cs="Times New Roman"/>
                <w:sz w:val="24"/>
                <w:szCs w:val="24"/>
              </w:rPr>
            </w:pPr>
            <w:r w:rsidRPr="003D2E0C">
              <w:rPr>
                <w:rFonts w:ascii="Times New Roman" w:hAnsi="Times New Roman" w:cs="Times New Roman"/>
                <w:sz w:val="24"/>
                <w:szCs w:val="24"/>
              </w:rPr>
              <w:t>32320594</w:t>
            </w:r>
          </w:p>
        </w:tc>
        <w:tc>
          <w:tcPr>
            <w:tcW w:w="6662" w:type="dxa"/>
            <w:shd w:val="clear" w:color="000000" w:fill="FFFFFF"/>
            <w:vAlign w:val="center"/>
          </w:tcPr>
          <w:p w:rsidR="00014A56" w:rsidRPr="003D2E0C" w:rsidRDefault="00014A56" w:rsidP="00FE1030">
            <w:pPr>
              <w:spacing w:after="40" w:line="240" w:lineRule="auto"/>
              <w:rPr>
                <w:rFonts w:ascii="Times New Roman" w:hAnsi="Times New Roman" w:cs="Times New Roman"/>
                <w:sz w:val="24"/>
                <w:szCs w:val="24"/>
              </w:rPr>
            </w:pPr>
            <w:r w:rsidRPr="003D2E0C">
              <w:rPr>
                <w:rFonts w:ascii="Times New Roman" w:hAnsi="Times New Roman" w:cs="Times New Roman"/>
                <w:sz w:val="24"/>
                <w:szCs w:val="24"/>
              </w:rPr>
              <w:t>ДП "</w:t>
            </w:r>
            <w:proofErr w:type="spellStart"/>
            <w:r w:rsidRPr="003D2E0C">
              <w:rPr>
                <w:rFonts w:ascii="Times New Roman" w:hAnsi="Times New Roman" w:cs="Times New Roman"/>
                <w:sz w:val="24"/>
                <w:szCs w:val="24"/>
              </w:rPr>
              <w:t>Первомайськвугілля</w:t>
            </w:r>
            <w:proofErr w:type="spellEnd"/>
            <w:r w:rsidRPr="003D2E0C">
              <w:rPr>
                <w:rFonts w:ascii="Times New Roman" w:hAnsi="Times New Roman" w:cs="Times New Roman"/>
                <w:sz w:val="24"/>
                <w:szCs w:val="24"/>
              </w:rPr>
              <w:t>"</w:t>
            </w:r>
          </w:p>
        </w:tc>
      </w:tr>
      <w:tr w:rsidR="00014A56" w:rsidRPr="003D2E0C" w:rsidTr="00FE1030">
        <w:trPr>
          <w:trHeight w:val="310"/>
        </w:trPr>
        <w:tc>
          <w:tcPr>
            <w:tcW w:w="2864" w:type="dxa"/>
            <w:shd w:val="clear" w:color="000000" w:fill="FFFFFF"/>
            <w:vAlign w:val="center"/>
            <w:hideMark/>
          </w:tcPr>
          <w:p w:rsidR="00014A56" w:rsidRPr="003D2E0C" w:rsidRDefault="00014A56" w:rsidP="00FE1030">
            <w:pPr>
              <w:spacing w:after="40" w:line="240" w:lineRule="auto"/>
              <w:jc w:val="center"/>
              <w:rPr>
                <w:rFonts w:ascii="Times New Roman" w:hAnsi="Times New Roman" w:cs="Times New Roman"/>
                <w:sz w:val="24"/>
                <w:szCs w:val="24"/>
              </w:rPr>
            </w:pPr>
            <w:r w:rsidRPr="003D2E0C">
              <w:rPr>
                <w:rFonts w:ascii="Times New Roman" w:hAnsi="Times New Roman" w:cs="Times New Roman"/>
                <w:sz w:val="24"/>
                <w:szCs w:val="24"/>
              </w:rPr>
              <w:t>34032208</w:t>
            </w:r>
          </w:p>
        </w:tc>
        <w:tc>
          <w:tcPr>
            <w:tcW w:w="6662" w:type="dxa"/>
            <w:shd w:val="clear" w:color="000000" w:fill="FFFFFF"/>
            <w:vAlign w:val="center"/>
            <w:hideMark/>
          </w:tcPr>
          <w:p w:rsidR="00014A56" w:rsidRPr="003D2E0C" w:rsidRDefault="00014A56" w:rsidP="00FE1030">
            <w:pPr>
              <w:spacing w:after="40" w:line="240" w:lineRule="auto"/>
              <w:rPr>
                <w:rFonts w:ascii="Times New Roman" w:hAnsi="Times New Roman" w:cs="Times New Roman"/>
                <w:sz w:val="24"/>
                <w:szCs w:val="24"/>
              </w:rPr>
            </w:pPr>
            <w:r w:rsidRPr="003D2E0C">
              <w:rPr>
                <w:rFonts w:ascii="Times New Roman" w:hAnsi="Times New Roman" w:cs="Times New Roman"/>
                <w:sz w:val="24"/>
                <w:szCs w:val="24"/>
              </w:rPr>
              <w:t>ДП "Шахтоуправління "Південно-донбаське №1"</w:t>
            </w:r>
          </w:p>
        </w:tc>
      </w:tr>
      <w:tr w:rsidR="00014A56" w:rsidRPr="003D2E0C" w:rsidTr="00FE1030">
        <w:trPr>
          <w:trHeight w:val="310"/>
        </w:trPr>
        <w:tc>
          <w:tcPr>
            <w:tcW w:w="2864" w:type="dxa"/>
            <w:shd w:val="clear" w:color="000000" w:fill="FFFFFF"/>
            <w:vAlign w:val="center"/>
            <w:hideMark/>
          </w:tcPr>
          <w:p w:rsidR="00014A56" w:rsidRPr="003D2E0C" w:rsidRDefault="00014A56" w:rsidP="00FE1030">
            <w:pPr>
              <w:spacing w:after="40" w:line="240" w:lineRule="auto"/>
              <w:jc w:val="center"/>
              <w:rPr>
                <w:rFonts w:ascii="Times New Roman" w:hAnsi="Times New Roman" w:cs="Times New Roman"/>
                <w:sz w:val="24"/>
                <w:szCs w:val="24"/>
              </w:rPr>
            </w:pPr>
            <w:r w:rsidRPr="003D2E0C">
              <w:rPr>
                <w:rFonts w:ascii="Times New Roman" w:hAnsi="Times New Roman" w:cs="Times New Roman"/>
                <w:sz w:val="24"/>
                <w:szCs w:val="24"/>
              </w:rPr>
              <w:t>33839013</w:t>
            </w:r>
          </w:p>
        </w:tc>
        <w:tc>
          <w:tcPr>
            <w:tcW w:w="6662" w:type="dxa"/>
            <w:shd w:val="clear" w:color="000000" w:fill="FFFFFF"/>
            <w:vAlign w:val="center"/>
            <w:hideMark/>
          </w:tcPr>
          <w:p w:rsidR="00014A56" w:rsidRPr="003D2E0C" w:rsidRDefault="00014A56" w:rsidP="00FE1030">
            <w:pPr>
              <w:spacing w:after="40" w:line="240" w:lineRule="auto"/>
              <w:rPr>
                <w:rFonts w:ascii="Times New Roman" w:hAnsi="Times New Roman" w:cs="Times New Roman"/>
                <w:sz w:val="24"/>
                <w:szCs w:val="24"/>
              </w:rPr>
            </w:pPr>
            <w:r w:rsidRPr="003D2E0C">
              <w:rPr>
                <w:rFonts w:ascii="Times New Roman" w:hAnsi="Times New Roman" w:cs="Times New Roman"/>
                <w:sz w:val="24"/>
                <w:szCs w:val="24"/>
              </w:rPr>
              <w:t>ДП "</w:t>
            </w:r>
            <w:proofErr w:type="spellStart"/>
            <w:r w:rsidRPr="003D2E0C">
              <w:rPr>
                <w:rFonts w:ascii="Times New Roman" w:hAnsi="Times New Roman" w:cs="Times New Roman"/>
                <w:sz w:val="24"/>
                <w:szCs w:val="24"/>
              </w:rPr>
              <w:t>Торецьквугілля</w:t>
            </w:r>
            <w:proofErr w:type="spellEnd"/>
            <w:r w:rsidRPr="003D2E0C">
              <w:rPr>
                <w:rFonts w:ascii="Times New Roman" w:hAnsi="Times New Roman" w:cs="Times New Roman"/>
                <w:sz w:val="24"/>
                <w:szCs w:val="24"/>
              </w:rPr>
              <w:t>"</w:t>
            </w:r>
          </w:p>
        </w:tc>
      </w:tr>
      <w:tr w:rsidR="00014A56" w:rsidRPr="003D2E0C" w:rsidTr="00FE1030">
        <w:trPr>
          <w:trHeight w:val="310"/>
        </w:trPr>
        <w:tc>
          <w:tcPr>
            <w:tcW w:w="2864" w:type="dxa"/>
            <w:tcBorders>
              <w:bottom w:val="single" w:sz="4" w:space="0" w:color="auto"/>
            </w:tcBorders>
            <w:shd w:val="clear" w:color="000000" w:fill="FFFFFF"/>
            <w:vAlign w:val="center"/>
          </w:tcPr>
          <w:p w:rsidR="00014A56" w:rsidRPr="003D2E0C" w:rsidRDefault="00014A56" w:rsidP="00FE1030">
            <w:pPr>
              <w:spacing w:after="40" w:line="240" w:lineRule="auto"/>
              <w:jc w:val="center"/>
              <w:rPr>
                <w:rFonts w:ascii="Times New Roman" w:hAnsi="Times New Roman" w:cs="Times New Roman"/>
                <w:sz w:val="24"/>
                <w:szCs w:val="24"/>
              </w:rPr>
            </w:pPr>
            <w:r w:rsidRPr="003D2E0C">
              <w:rPr>
                <w:rFonts w:ascii="Times New Roman" w:hAnsi="Times New Roman" w:cs="Times New Roman"/>
                <w:sz w:val="24"/>
                <w:szCs w:val="24"/>
              </w:rPr>
              <w:t>32323256</w:t>
            </w:r>
          </w:p>
        </w:tc>
        <w:tc>
          <w:tcPr>
            <w:tcW w:w="6662" w:type="dxa"/>
            <w:tcBorders>
              <w:bottom w:val="single" w:sz="4" w:space="0" w:color="auto"/>
            </w:tcBorders>
            <w:shd w:val="clear" w:color="000000" w:fill="FFFFFF"/>
            <w:vAlign w:val="center"/>
          </w:tcPr>
          <w:p w:rsidR="00014A56" w:rsidRPr="003D2E0C" w:rsidRDefault="00014A56" w:rsidP="00FE1030">
            <w:pPr>
              <w:spacing w:after="40" w:line="240" w:lineRule="auto"/>
              <w:rPr>
                <w:rFonts w:ascii="Times New Roman" w:hAnsi="Times New Roman" w:cs="Times New Roman"/>
                <w:sz w:val="24"/>
                <w:szCs w:val="24"/>
              </w:rPr>
            </w:pPr>
            <w:r w:rsidRPr="003D2E0C">
              <w:rPr>
                <w:rFonts w:ascii="Times New Roman" w:hAnsi="Times New Roman" w:cs="Times New Roman"/>
                <w:sz w:val="24"/>
                <w:szCs w:val="24"/>
              </w:rPr>
              <w:t>ДП "</w:t>
            </w:r>
            <w:proofErr w:type="spellStart"/>
            <w:r w:rsidRPr="003D2E0C">
              <w:rPr>
                <w:rFonts w:ascii="Times New Roman" w:hAnsi="Times New Roman" w:cs="Times New Roman"/>
                <w:sz w:val="24"/>
                <w:szCs w:val="24"/>
              </w:rPr>
              <w:t>Львіввугілля</w:t>
            </w:r>
            <w:proofErr w:type="spellEnd"/>
            <w:r w:rsidRPr="003D2E0C">
              <w:rPr>
                <w:rFonts w:ascii="Times New Roman" w:hAnsi="Times New Roman" w:cs="Times New Roman"/>
                <w:sz w:val="24"/>
                <w:szCs w:val="24"/>
              </w:rPr>
              <w:t>"</w:t>
            </w:r>
          </w:p>
        </w:tc>
      </w:tr>
      <w:tr w:rsidR="00014A56" w:rsidRPr="003D2E0C" w:rsidTr="00FE1030">
        <w:trPr>
          <w:trHeight w:val="310"/>
        </w:trPr>
        <w:tc>
          <w:tcPr>
            <w:tcW w:w="2864" w:type="dxa"/>
            <w:tcBorders>
              <w:bottom w:val="single" w:sz="4" w:space="0" w:color="auto"/>
            </w:tcBorders>
            <w:shd w:val="clear" w:color="000000" w:fill="FFFFFF"/>
            <w:vAlign w:val="center"/>
          </w:tcPr>
          <w:p w:rsidR="00014A56" w:rsidRPr="003D2E0C" w:rsidRDefault="00014A56" w:rsidP="00FE1030">
            <w:pPr>
              <w:spacing w:after="40" w:line="240" w:lineRule="auto"/>
              <w:jc w:val="center"/>
              <w:rPr>
                <w:rFonts w:ascii="Times New Roman" w:hAnsi="Times New Roman" w:cs="Times New Roman"/>
                <w:sz w:val="24"/>
                <w:szCs w:val="24"/>
              </w:rPr>
            </w:pPr>
            <w:r w:rsidRPr="003D2E0C">
              <w:rPr>
                <w:rFonts w:ascii="Times New Roman" w:hAnsi="Times New Roman" w:cs="Times New Roman"/>
                <w:sz w:val="24"/>
                <w:szCs w:val="24"/>
              </w:rPr>
              <w:t>40695853</w:t>
            </w:r>
          </w:p>
        </w:tc>
        <w:tc>
          <w:tcPr>
            <w:tcW w:w="6662" w:type="dxa"/>
            <w:tcBorders>
              <w:bottom w:val="single" w:sz="4" w:space="0" w:color="auto"/>
            </w:tcBorders>
            <w:shd w:val="clear" w:color="000000" w:fill="FFFFFF"/>
            <w:vAlign w:val="center"/>
          </w:tcPr>
          <w:p w:rsidR="00014A56" w:rsidRPr="003D2E0C" w:rsidRDefault="00014A56" w:rsidP="00FE1030">
            <w:pPr>
              <w:spacing w:after="40" w:line="240" w:lineRule="auto"/>
              <w:rPr>
                <w:rFonts w:ascii="Times New Roman" w:hAnsi="Times New Roman" w:cs="Times New Roman"/>
                <w:sz w:val="24"/>
                <w:szCs w:val="24"/>
              </w:rPr>
            </w:pPr>
            <w:r w:rsidRPr="003D2E0C">
              <w:rPr>
                <w:rFonts w:ascii="Times New Roman" w:hAnsi="Times New Roman" w:cs="Times New Roman"/>
                <w:sz w:val="24"/>
                <w:szCs w:val="24"/>
              </w:rPr>
              <w:t xml:space="preserve">ДП "Шахта ім. М. С. </w:t>
            </w:r>
            <w:proofErr w:type="spellStart"/>
            <w:r w:rsidRPr="003D2E0C">
              <w:rPr>
                <w:rFonts w:ascii="Times New Roman" w:hAnsi="Times New Roman" w:cs="Times New Roman"/>
                <w:sz w:val="24"/>
                <w:szCs w:val="24"/>
              </w:rPr>
              <w:t>Сургая</w:t>
            </w:r>
            <w:proofErr w:type="spellEnd"/>
            <w:r w:rsidRPr="003D2E0C">
              <w:rPr>
                <w:rFonts w:ascii="Times New Roman" w:hAnsi="Times New Roman" w:cs="Times New Roman"/>
                <w:sz w:val="24"/>
                <w:szCs w:val="24"/>
              </w:rPr>
              <w:t>"</w:t>
            </w:r>
          </w:p>
        </w:tc>
      </w:tr>
      <w:tr w:rsidR="00014A56" w:rsidRPr="003D2E0C" w:rsidTr="00FE1030">
        <w:trPr>
          <w:trHeight w:val="310"/>
        </w:trPr>
        <w:tc>
          <w:tcPr>
            <w:tcW w:w="2864" w:type="dxa"/>
            <w:tcBorders>
              <w:bottom w:val="single" w:sz="4" w:space="0" w:color="auto"/>
            </w:tcBorders>
            <w:shd w:val="clear" w:color="000000" w:fill="FFFFFF"/>
            <w:vAlign w:val="center"/>
          </w:tcPr>
          <w:p w:rsidR="00014A56" w:rsidRPr="003D2E0C" w:rsidRDefault="00014A56" w:rsidP="00FE1030">
            <w:pPr>
              <w:spacing w:after="40" w:line="240" w:lineRule="auto"/>
              <w:jc w:val="center"/>
              <w:rPr>
                <w:rFonts w:ascii="Times New Roman" w:hAnsi="Times New Roman" w:cs="Times New Roman"/>
                <w:sz w:val="24"/>
                <w:szCs w:val="24"/>
              </w:rPr>
            </w:pPr>
            <w:r w:rsidRPr="003D2E0C">
              <w:rPr>
                <w:rFonts w:ascii="Times New Roman" w:hAnsi="Times New Roman" w:cs="Times New Roman"/>
                <w:sz w:val="24"/>
                <w:szCs w:val="24"/>
              </w:rPr>
              <w:t>32365965</w:t>
            </w:r>
          </w:p>
        </w:tc>
        <w:tc>
          <w:tcPr>
            <w:tcW w:w="6662" w:type="dxa"/>
            <w:tcBorders>
              <w:bottom w:val="single" w:sz="4" w:space="0" w:color="auto"/>
            </w:tcBorders>
            <w:shd w:val="clear" w:color="000000" w:fill="FFFFFF"/>
            <w:vAlign w:val="center"/>
          </w:tcPr>
          <w:p w:rsidR="00014A56" w:rsidRPr="003D2E0C" w:rsidRDefault="00014A56" w:rsidP="00FE1030">
            <w:pPr>
              <w:spacing w:after="40" w:line="240" w:lineRule="auto"/>
              <w:rPr>
                <w:rFonts w:ascii="Times New Roman" w:hAnsi="Times New Roman" w:cs="Times New Roman"/>
                <w:sz w:val="24"/>
                <w:szCs w:val="24"/>
              </w:rPr>
            </w:pPr>
            <w:r w:rsidRPr="003D2E0C">
              <w:rPr>
                <w:rFonts w:ascii="Times New Roman" w:hAnsi="Times New Roman" w:cs="Times New Roman"/>
                <w:sz w:val="24"/>
                <w:szCs w:val="24"/>
              </w:rPr>
              <w:t>ДП "</w:t>
            </w:r>
            <w:proofErr w:type="spellStart"/>
            <w:r w:rsidRPr="003D2E0C">
              <w:rPr>
                <w:rFonts w:ascii="Times New Roman" w:hAnsi="Times New Roman" w:cs="Times New Roman"/>
                <w:sz w:val="24"/>
                <w:szCs w:val="24"/>
              </w:rPr>
              <w:t>Волиньвугілля</w:t>
            </w:r>
            <w:proofErr w:type="spellEnd"/>
            <w:r w:rsidRPr="003D2E0C">
              <w:rPr>
                <w:rFonts w:ascii="Times New Roman" w:hAnsi="Times New Roman" w:cs="Times New Roman"/>
                <w:sz w:val="24"/>
                <w:szCs w:val="24"/>
              </w:rPr>
              <w:t>"</w:t>
            </w:r>
          </w:p>
        </w:tc>
      </w:tr>
      <w:tr w:rsidR="00014A56" w:rsidRPr="003D2E0C" w:rsidTr="00FE1030">
        <w:trPr>
          <w:trHeight w:val="310"/>
        </w:trPr>
        <w:tc>
          <w:tcPr>
            <w:tcW w:w="2864" w:type="dxa"/>
            <w:tcBorders>
              <w:bottom w:val="single" w:sz="4" w:space="0" w:color="auto"/>
            </w:tcBorders>
            <w:shd w:val="clear" w:color="000000" w:fill="FFFFFF"/>
            <w:vAlign w:val="center"/>
          </w:tcPr>
          <w:p w:rsidR="00014A56" w:rsidRPr="003D2E0C" w:rsidRDefault="00014A56" w:rsidP="00FE1030">
            <w:pPr>
              <w:spacing w:after="40" w:line="240" w:lineRule="auto"/>
              <w:jc w:val="center"/>
              <w:rPr>
                <w:rFonts w:ascii="Times New Roman" w:hAnsi="Times New Roman" w:cs="Times New Roman"/>
                <w:sz w:val="24"/>
                <w:szCs w:val="24"/>
              </w:rPr>
            </w:pPr>
            <w:r w:rsidRPr="003D2E0C">
              <w:rPr>
                <w:rFonts w:ascii="Times New Roman" w:hAnsi="Times New Roman" w:cs="Times New Roman"/>
                <w:sz w:val="24"/>
                <w:szCs w:val="24"/>
              </w:rPr>
              <w:t>14309787</w:t>
            </w:r>
          </w:p>
        </w:tc>
        <w:tc>
          <w:tcPr>
            <w:tcW w:w="6662" w:type="dxa"/>
            <w:tcBorders>
              <w:bottom w:val="single" w:sz="4" w:space="0" w:color="auto"/>
            </w:tcBorders>
            <w:shd w:val="clear" w:color="000000" w:fill="FFFFFF"/>
            <w:vAlign w:val="center"/>
          </w:tcPr>
          <w:p w:rsidR="00014A56" w:rsidRPr="003D2E0C" w:rsidRDefault="00014A56" w:rsidP="00FE1030">
            <w:pPr>
              <w:spacing w:after="40" w:line="240" w:lineRule="auto"/>
              <w:rPr>
                <w:rFonts w:ascii="Times New Roman" w:hAnsi="Times New Roman" w:cs="Times New Roman"/>
                <w:sz w:val="24"/>
                <w:szCs w:val="24"/>
              </w:rPr>
            </w:pPr>
            <w:r w:rsidRPr="003D2E0C">
              <w:rPr>
                <w:rFonts w:ascii="Times New Roman" w:hAnsi="Times New Roman" w:cs="Times New Roman"/>
                <w:sz w:val="24"/>
                <w:szCs w:val="24"/>
              </w:rPr>
              <w:t>ДП "</w:t>
            </w:r>
            <w:proofErr w:type="spellStart"/>
            <w:r w:rsidRPr="003D2E0C">
              <w:rPr>
                <w:rFonts w:ascii="Times New Roman" w:hAnsi="Times New Roman" w:cs="Times New Roman"/>
                <w:sz w:val="24"/>
                <w:szCs w:val="24"/>
              </w:rPr>
              <w:t>СхідГЗК</w:t>
            </w:r>
            <w:proofErr w:type="spellEnd"/>
            <w:r w:rsidRPr="003D2E0C">
              <w:rPr>
                <w:rFonts w:ascii="Times New Roman" w:hAnsi="Times New Roman" w:cs="Times New Roman"/>
                <w:sz w:val="24"/>
                <w:szCs w:val="24"/>
              </w:rPr>
              <w:t>"</w:t>
            </w:r>
          </w:p>
        </w:tc>
      </w:tr>
      <w:tr w:rsidR="00175892" w:rsidRPr="003D2E0C" w:rsidTr="00FE1030">
        <w:trPr>
          <w:trHeight w:val="310"/>
        </w:trPr>
        <w:tc>
          <w:tcPr>
            <w:tcW w:w="2864" w:type="dxa"/>
            <w:tcBorders>
              <w:bottom w:val="single" w:sz="4" w:space="0" w:color="auto"/>
            </w:tcBorders>
            <w:shd w:val="clear" w:color="000000" w:fill="FFFFFF"/>
            <w:vAlign w:val="center"/>
          </w:tcPr>
          <w:p w:rsidR="00175892" w:rsidRPr="003D2E0C" w:rsidRDefault="00175892" w:rsidP="00175892">
            <w:pPr>
              <w:spacing w:after="40" w:line="240" w:lineRule="auto"/>
              <w:jc w:val="center"/>
              <w:rPr>
                <w:rFonts w:ascii="Times New Roman" w:hAnsi="Times New Roman" w:cs="Times New Roman"/>
                <w:sz w:val="24"/>
                <w:szCs w:val="24"/>
              </w:rPr>
            </w:pPr>
            <w:r w:rsidRPr="003D2E0C">
              <w:rPr>
                <w:rFonts w:ascii="Times New Roman" w:hAnsi="Times New Roman" w:cs="Times New Roman"/>
                <w:sz w:val="24"/>
                <w:szCs w:val="24"/>
              </w:rPr>
              <w:t>00100227</w:t>
            </w:r>
          </w:p>
        </w:tc>
        <w:tc>
          <w:tcPr>
            <w:tcW w:w="6662" w:type="dxa"/>
            <w:tcBorders>
              <w:bottom w:val="single" w:sz="4" w:space="0" w:color="auto"/>
            </w:tcBorders>
            <w:shd w:val="clear" w:color="000000" w:fill="FFFFFF"/>
            <w:vAlign w:val="center"/>
          </w:tcPr>
          <w:p w:rsidR="00175892" w:rsidRPr="003D2E0C" w:rsidRDefault="00175892" w:rsidP="00175892">
            <w:pPr>
              <w:spacing w:after="40" w:line="240" w:lineRule="auto"/>
              <w:rPr>
                <w:rFonts w:ascii="Times New Roman" w:hAnsi="Times New Roman" w:cs="Times New Roman"/>
                <w:sz w:val="24"/>
                <w:szCs w:val="24"/>
              </w:rPr>
            </w:pPr>
            <w:r w:rsidRPr="003D2E0C">
              <w:rPr>
                <w:rFonts w:ascii="Times New Roman" w:hAnsi="Times New Roman" w:cs="Times New Roman"/>
                <w:sz w:val="24"/>
                <w:szCs w:val="24"/>
              </w:rPr>
              <w:t>НЕК "Укренерго"</w:t>
            </w:r>
            <w:r>
              <w:rPr>
                <w:rFonts w:ascii="Times New Roman" w:hAnsi="Times New Roman" w:cs="Times New Roman"/>
                <w:sz w:val="24"/>
                <w:szCs w:val="24"/>
              </w:rPr>
              <w:t>*</w:t>
            </w:r>
            <w:r w:rsidRPr="003D2E0C">
              <w:rPr>
                <w:rFonts w:ascii="Times New Roman" w:hAnsi="Times New Roman" w:cs="Times New Roman"/>
                <w:sz w:val="24"/>
                <w:szCs w:val="24"/>
              </w:rPr>
              <w:t xml:space="preserve"> </w:t>
            </w:r>
          </w:p>
        </w:tc>
      </w:tr>
      <w:tr w:rsidR="00175892" w:rsidRPr="003D2E0C" w:rsidTr="00FE1030">
        <w:trPr>
          <w:trHeight w:val="310"/>
        </w:trPr>
        <w:tc>
          <w:tcPr>
            <w:tcW w:w="2864" w:type="dxa"/>
            <w:tcBorders>
              <w:bottom w:val="single" w:sz="4" w:space="0" w:color="auto"/>
            </w:tcBorders>
            <w:shd w:val="clear" w:color="000000" w:fill="FFFFFF"/>
            <w:vAlign w:val="center"/>
          </w:tcPr>
          <w:p w:rsidR="00175892" w:rsidRPr="003D2E0C" w:rsidRDefault="00175892" w:rsidP="00175892">
            <w:pPr>
              <w:spacing w:after="40" w:line="240" w:lineRule="auto"/>
              <w:jc w:val="center"/>
              <w:rPr>
                <w:rFonts w:ascii="Times New Roman" w:hAnsi="Times New Roman" w:cs="Times New Roman"/>
                <w:sz w:val="24"/>
                <w:szCs w:val="24"/>
              </w:rPr>
            </w:pPr>
            <w:r w:rsidRPr="003D2E0C">
              <w:rPr>
                <w:rFonts w:ascii="Times New Roman" w:hAnsi="Times New Roman" w:cs="Times New Roman"/>
                <w:sz w:val="24"/>
                <w:szCs w:val="24"/>
              </w:rPr>
              <w:t>41089111</w:t>
            </w:r>
          </w:p>
        </w:tc>
        <w:tc>
          <w:tcPr>
            <w:tcW w:w="6662" w:type="dxa"/>
            <w:tcBorders>
              <w:bottom w:val="single" w:sz="4" w:space="0" w:color="auto"/>
            </w:tcBorders>
            <w:shd w:val="clear" w:color="000000" w:fill="FFFFFF"/>
            <w:vAlign w:val="center"/>
          </w:tcPr>
          <w:p w:rsidR="00175892" w:rsidRPr="003D2E0C" w:rsidRDefault="00175892" w:rsidP="00175892">
            <w:pPr>
              <w:spacing w:after="40" w:line="240" w:lineRule="auto"/>
              <w:rPr>
                <w:rFonts w:ascii="Times New Roman" w:hAnsi="Times New Roman" w:cs="Times New Roman"/>
                <w:sz w:val="24"/>
                <w:szCs w:val="24"/>
              </w:rPr>
            </w:pPr>
            <w:r w:rsidRPr="003D2E0C">
              <w:rPr>
                <w:rFonts w:ascii="Times New Roman" w:hAnsi="Times New Roman" w:cs="Times New Roman"/>
                <w:sz w:val="24"/>
                <w:szCs w:val="24"/>
              </w:rPr>
              <w:t>АТ "Магістральні газопроводи України"</w:t>
            </w:r>
            <w:r>
              <w:rPr>
                <w:rFonts w:ascii="Times New Roman" w:hAnsi="Times New Roman" w:cs="Times New Roman"/>
                <w:sz w:val="24"/>
                <w:szCs w:val="24"/>
              </w:rPr>
              <w:t>*</w:t>
            </w:r>
          </w:p>
        </w:tc>
      </w:tr>
      <w:tr w:rsidR="00175892" w:rsidRPr="003D2E0C" w:rsidTr="00FE1030">
        <w:trPr>
          <w:trHeight w:val="310"/>
        </w:trPr>
        <w:tc>
          <w:tcPr>
            <w:tcW w:w="2864" w:type="dxa"/>
            <w:tcBorders>
              <w:bottom w:val="single" w:sz="4" w:space="0" w:color="auto"/>
            </w:tcBorders>
            <w:shd w:val="clear" w:color="000000" w:fill="FFFFFF"/>
            <w:vAlign w:val="center"/>
          </w:tcPr>
          <w:p w:rsidR="00175892" w:rsidRPr="003D2E0C" w:rsidRDefault="00175892" w:rsidP="00175892">
            <w:pPr>
              <w:spacing w:after="40" w:line="240" w:lineRule="auto"/>
              <w:jc w:val="center"/>
              <w:rPr>
                <w:rFonts w:ascii="Times New Roman" w:hAnsi="Times New Roman" w:cs="Times New Roman"/>
                <w:sz w:val="24"/>
                <w:szCs w:val="24"/>
              </w:rPr>
            </w:pPr>
            <w:r w:rsidRPr="003D2E0C">
              <w:rPr>
                <w:rFonts w:ascii="Times New Roman" w:hAnsi="Times New Roman" w:cs="Times New Roman"/>
                <w:sz w:val="24"/>
                <w:szCs w:val="24"/>
              </w:rPr>
              <w:t>42795490</w:t>
            </w:r>
          </w:p>
        </w:tc>
        <w:tc>
          <w:tcPr>
            <w:tcW w:w="6662" w:type="dxa"/>
            <w:tcBorders>
              <w:bottom w:val="single" w:sz="4" w:space="0" w:color="auto"/>
            </w:tcBorders>
            <w:shd w:val="clear" w:color="000000" w:fill="FFFFFF"/>
            <w:vAlign w:val="center"/>
          </w:tcPr>
          <w:p w:rsidR="00175892" w:rsidRPr="003D2E0C" w:rsidRDefault="00175892" w:rsidP="00175892">
            <w:pPr>
              <w:spacing w:after="40" w:line="240" w:lineRule="auto"/>
              <w:rPr>
                <w:rFonts w:ascii="Times New Roman" w:hAnsi="Times New Roman" w:cs="Times New Roman"/>
                <w:sz w:val="24"/>
                <w:szCs w:val="24"/>
              </w:rPr>
            </w:pPr>
            <w:r w:rsidRPr="003D2E0C">
              <w:rPr>
                <w:rFonts w:ascii="Times New Roman" w:hAnsi="Times New Roman" w:cs="Times New Roman"/>
                <w:sz w:val="24"/>
                <w:szCs w:val="24"/>
              </w:rPr>
              <w:t>ТОВ "Оператор газотранспортної системи України"</w:t>
            </w:r>
            <w:r>
              <w:rPr>
                <w:rFonts w:ascii="Times New Roman" w:hAnsi="Times New Roman" w:cs="Times New Roman"/>
                <w:sz w:val="24"/>
                <w:szCs w:val="24"/>
              </w:rPr>
              <w:t>*</w:t>
            </w:r>
          </w:p>
        </w:tc>
      </w:tr>
      <w:tr w:rsidR="00175892" w:rsidRPr="003D2E0C" w:rsidTr="00FE10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69"/>
        </w:trPr>
        <w:tc>
          <w:tcPr>
            <w:tcW w:w="9526" w:type="dxa"/>
            <w:gridSpan w:val="2"/>
            <w:tcBorders>
              <w:top w:val="single" w:sz="4" w:space="0" w:color="auto"/>
              <w:left w:val="single" w:sz="4" w:space="0" w:color="auto"/>
              <w:bottom w:val="single" w:sz="4" w:space="0" w:color="auto"/>
              <w:right w:val="single" w:sz="4" w:space="0" w:color="auto"/>
            </w:tcBorders>
            <w:shd w:val="clear" w:color="auto" w:fill="auto"/>
            <w:vAlign w:val="bottom"/>
            <w:hideMark/>
          </w:tcPr>
          <w:p w:rsidR="00175892" w:rsidRPr="003D2E0C" w:rsidRDefault="00175892" w:rsidP="00175892">
            <w:pPr>
              <w:spacing w:after="40" w:line="240" w:lineRule="auto"/>
              <w:jc w:val="center"/>
              <w:rPr>
                <w:rFonts w:ascii="Times New Roman" w:hAnsi="Times New Roman" w:cs="Times New Roman"/>
                <w:bCs/>
                <w:color w:val="000000"/>
                <w:sz w:val="24"/>
                <w:szCs w:val="24"/>
              </w:rPr>
            </w:pPr>
            <w:proofErr w:type="spellStart"/>
            <w:r w:rsidRPr="003D2E0C">
              <w:rPr>
                <w:rFonts w:ascii="Times New Roman" w:hAnsi="Times New Roman" w:cs="Times New Roman"/>
                <w:bCs/>
                <w:color w:val="000000"/>
                <w:sz w:val="24"/>
                <w:szCs w:val="24"/>
              </w:rPr>
              <w:t>Мінінфраструктури</w:t>
            </w:r>
            <w:proofErr w:type="spellEnd"/>
          </w:p>
        </w:tc>
      </w:tr>
      <w:tr w:rsidR="00175892" w:rsidRPr="003D2E0C" w:rsidTr="00FE1030">
        <w:trPr>
          <w:trHeight w:val="310"/>
        </w:trPr>
        <w:tc>
          <w:tcPr>
            <w:tcW w:w="2864" w:type="dxa"/>
            <w:shd w:val="clear" w:color="000000" w:fill="FFFFFF"/>
            <w:vAlign w:val="center"/>
          </w:tcPr>
          <w:p w:rsidR="00175892" w:rsidRPr="003D2E0C" w:rsidRDefault="00175892" w:rsidP="00175892">
            <w:pPr>
              <w:spacing w:after="40" w:line="240" w:lineRule="auto"/>
              <w:jc w:val="center"/>
              <w:rPr>
                <w:rFonts w:ascii="Times New Roman" w:hAnsi="Times New Roman" w:cs="Times New Roman"/>
                <w:sz w:val="24"/>
                <w:szCs w:val="24"/>
              </w:rPr>
            </w:pPr>
            <w:r w:rsidRPr="003D2E0C">
              <w:rPr>
                <w:rFonts w:ascii="Times New Roman" w:hAnsi="Times New Roman" w:cs="Times New Roman"/>
                <w:sz w:val="24"/>
                <w:szCs w:val="24"/>
              </w:rPr>
              <w:t>20572069</w:t>
            </w:r>
          </w:p>
        </w:tc>
        <w:tc>
          <w:tcPr>
            <w:tcW w:w="6662" w:type="dxa"/>
            <w:shd w:val="clear" w:color="000000" w:fill="FFFFFF"/>
            <w:vAlign w:val="center"/>
          </w:tcPr>
          <w:p w:rsidR="00175892" w:rsidRPr="003D2E0C" w:rsidRDefault="00175892" w:rsidP="00175892">
            <w:pPr>
              <w:spacing w:after="40" w:line="240" w:lineRule="auto"/>
              <w:rPr>
                <w:rFonts w:ascii="Times New Roman" w:hAnsi="Times New Roman" w:cs="Times New Roman"/>
                <w:sz w:val="24"/>
                <w:szCs w:val="24"/>
              </w:rPr>
            </w:pPr>
            <w:r w:rsidRPr="003D2E0C">
              <w:rPr>
                <w:rFonts w:ascii="Times New Roman" w:hAnsi="Times New Roman" w:cs="Times New Roman"/>
                <w:sz w:val="24"/>
                <w:szCs w:val="24"/>
              </w:rPr>
              <w:t>ДП "МА "Бориспіль"</w:t>
            </w:r>
          </w:p>
        </w:tc>
      </w:tr>
      <w:tr w:rsidR="00175892" w:rsidRPr="003D2E0C" w:rsidTr="00FE1030">
        <w:trPr>
          <w:trHeight w:val="310"/>
        </w:trPr>
        <w:tc>
          <w:tcPr>
            <w:tcW w:w="2864" w:type="dxa"/>
            <w:shd w:val="clear" w:color="000000" w:fill="FFFFFF"/>
            <w:vAlign w:val="center"/>
          </w:tcPr>
          <w:p w:rsidR="00175892" w:rsidRPr="003D2E0C" w:rsidRDefault="00175892" w:rsidP="00175892">
            <w:pPr>
              <w:spacing w:after="40" w:line="240" w:lineRule="auto"/>
              <w:jc w:val="center"/>
              <w:rPr>
                <w:rFonts w:ascii="Times New Roman" w:hAnsi="Times New Roman" w:cs="Times New Roman"/>
                <w:sz w:val="24"/>
                <w:szCs w:val="24"/>
              </w:rPr>
            </w:pPr>
            <w:r w:rsidRPr="003D2E0C">
              <w:rPr>
                <w:rFonts w:ascii="Times New Roman" w:hAnsi="Times New Roman" w:cs="Times New Roman"/>
                <w:sz w:val="24"/>
                <w:szCs w:val="24"/>
              </w:rPr>
              <w:t>21560045</w:t>
            </w:r>
          </w:p>
        </w:tc>
        <w:tc>
          <w:tcPr>
            <w:tcW w:w="6662" w:type="dxa"/>
            <w:shd w:val="clear" w:color="000000" w:fill="FFFFFF"/>
            <w:vAlign w:val="center"/>
          </w:tcPr>
          <w:p w:rsidR="00175892" w:rsidRPr="003D2E0C" w:rsidRDefault="00175892" w:rsidP="00175892">
            <w:pPr>
              <w:spacing w:after="40" w:line="240" w:lineRule="auto"/>
              <w:rPr>
                <w:rFonts w:ascii="Times New Roman" w:hAnsi="Times New Roman" w:cs="Times New Roman"/>
                <w:sz w:val="24"/>
                <w:szCs w:val="24"/>
              </w:rPr>
            </w:pPr>
            <w:r w:rsidRPr="003D2E0C">
              <w:rPr>
                <w:rFonts w:ascii="Times New Roman" w:hAnsi="Times New Roman" w:cs="Times New Roman"/>
                <w:sz w:val="24"/>
                <w:szCs w:val="24"/>
              </w:rPr>
              <w:t>АТ "Укрпошта"</w:t>
            </w:r>
          </w:p>
        </w:tc>
      </w:tr>
      <w:tr w:rsidR="00175892" w:rsidRPr="003D2E0C" w:rsidTr="00FE1030">
        <w:trPr>
          <w:trHeight w:val="272"/>
        </w:trPr>
        <w:tc>
          <w:tcPr>
            <w:tcW w:w="9526" w:type="dxa"/>
            <w:gridSpan w:val="2"/>
            <w:shd w:val="clear" w:color="auto" w:fill="auto"/>
            <w:vAlign w:val="bottom"/>
            <w:hideMark/>
          </w:tcPr>
          <w:p w:rsidR="00175892" w:rsidRPr="003D2E0C" w:rsidRDefault="00175892" w:rsidP="00175892">
            <w:pPr>
              <w:spacing w:after="40" w:line="240" w:lineRule="auto"/>
              <w:jc w:val="center"/>
              <w:rPr>
                <w:rFonts w:ascii="Times New Roman" w:hAnsi="Times New Roman" w:cs="Times New Roman"/>
                <w:bCs/>
                <w:color w:val="000000"/>
                <w:sz w:val="24"/>
                <w:szCs w:val="24"/>
              </w:rPr>
            </w:pPr>
            <w:r w:rsidRPr="003D2E0C">
              <w:rPr>
                <w:rFonts w:ascii="Times New Roman" w:hAnsi="Times New Roman" w:cs="Times New Roman"/>
                <w:bCs/>
                <w:color w:val="000000"/>
                <w:sz w:val="24"/>
                <w:szCs w:val="24"/>
              </w:rPr>
              <w:t>Державне космічне агентство</w:t>
            </w:r>
          </w:p>
        </w:tc>
      </w:tr>
      <w:tr w:rsidR="00175892" w:rsidRPr="003D2E0C" w:rsidTr="00FE1030">
        <w:trPr>
          <w:trHeight w:val="310"/>
        </w:trPr>
        <w:tc>
          <w:tcPr>
            <w:tcW w:w="2864" w:type="dxa"/>
            <w:shd w:val="clear" w:color="000000" w:fill="FFFFFF"/>
            <w:vAlign w:val="center"/>
            <w:hideMark/>
          </w:tcPr>
          <w:p w:rsidR="00175892" w:rsidRPr="003D2E0C" w:rsidRDefault="00175892" w:rsidP="00175892">
            <w:pPr>
              <w:spacing w:after="40" w:line="240" w:lineRule="auto"/>
              <w:jc w:val="center"/>
              <w:rPr>
                <w:rFonts w:ascii="Times New Roman" w:hAnsi="Times New Roman" w:cs="Times New Roman"/>
                <w:sz w:val="24"/>
                <w:szCs w:val="24"/>
              </w:rPr>
            </w:pPr>
            <w:r w:rsidRPr="003D2E0C">
              <w:rPr>
                <w:rFonts w:ascii="Times New Roman" w:hAnsi="Times New Roman" w:cs="Times New Roman"/>
                <w:sz w:val="24"/>
                <w:szCs w:val="24"/>
              </w:rPr>
              <w:t>24381357</w:t>
            </w:r>
          </w:p>
        </w:tc>
        <w:tc>
          <w:tcPr>
            <w:tcW w:w="6662" w:type="dxa"/>
            <w:shd w:val="clear" w:color="000000" w:fill="FFFFFF"/>
            <w:vAlign w:val="center"/>
            <w:hideMark/>
          </w:tcPr>
          <w:p w:rsidR="00175892" w:rsidRPr="003D2E0C" w:rsidRDefault="00175892" w:rsidP="00175892">
            <w:pPr>
              <w:spacing w:after="40" w:line="240" w:lineRule="auto"/>
              <w:rPr>
                <w:rFonts w:ascii="Times New Roman" w:hAnsi="Times New Roman" w:cs="Times New Roman"/>
                <w:sz w:val="24"/>
                <w:szCs w:val="24"/>
              </w:rPr>
            </w:pPr>
            <w:r w:rsidRPr="003D2E0C">
              <w:rPr>
                <w:rFonts w:ascii="Times New Roman" w:hAnsi="Times New Roman" w:cs="Times New Roman"/>
                <w:sz w:val="24"/>
                <w:szCs w:val="24"/>
              </w:rPr>
              <w:t>ДП "</w:t>
            </w:r>
            <w:proofErr w:type="spellStart"/>
            <w:r w:rsidRPr="003D2E0C">
              <w:rPr>
                <w:rFonts w:ascii="Times New Roman" w:hAnsi="Times New Roman" w:cs="Times New Roman"/>
                <w:sz w:val="24"/>
                <w:szCs w:val="24"/>
              </w:rPr>
              <w:t>Укркосмос</w:t>
            </w:r>
            <w:proofErr w:type="spellEnd"/>
            <w:r w:rsidRPr="003D2E0C">
              <w:rPr>
                <w:rFonts w:ascii="Times New Roman" w:hAnsi="Times New Roman" w:cs="Times New Roman"/>
                <w:sz w:val="24"/>
                <w:szCs w:val="24"/>
              </w:rPr>
              <w:t>"</w:t>
            </w:r>
          </w:p>
        </w:tc>
      </w:tr>
      <w:tr w:rsidR="00175892" w:rsidRPr="003D2E0C" w:rsidTr="00FE1030">
        <w:trPr>
          <w:trHeight w:val="310"/>
        </w:trPr>
        <w:tc>
          <w:tcPr>
            <w:tcW w:w="2864" w:type="dxa"/>
            <w:shd w:val="clear" w:color="000000" w:fill="FFFFFF"/>
            <w:vAlign w:val="center"/>
            <w:hideMark/>
          </w:tcPr>
          <w:p w:rsidR="00175892" w:rsidRPr="003D2E0C" w:rsidRDefault="00175892" w:rsidP="00175892">
            <w:pPr>
              <w:spacing w:after="40" w:line="240" w:lineRule="auto"/>
              <w:jc w:val="center"/>
              <w:rPr>
                <w:rFonts w:ascii="Times New Roman" w:hAnsi="Times New Roman" w:cs="Times New Roman"/>
                <w:sz w:val="24"/>
                <w:szCs w:val="24"/>
              </w:rPr>
            </w:pPr>
            <w:r w:rsidRPr="003D2E0C">
              <w:rPr>
                <w:rFonts w:ascii="Times New Roman" w:hAnsi="Times New Roman" w:cs="Times New Roman"/>
                <w:sz w:val="24"/>
                <w:szCs w:val="24"/>
              </w:rPr>
              <w:t>14308368</w:t>
            </w:r>
          </w:p>
        </w:tc>
        <w:tc>
          <w:tcPr>
            <w:tcW w:w="6662" w:type="dxa"/>
            <w:shd w:val="clear" w:color="000000" w:fill="FFFFFF"/>
            <w:vAlign w:val="center"/>
            <w:hideMark/>
          </w:tcPr>
          <w:p w:rsidR="00175892" w:rsidRPr="00014A56" w:rsidRDefault="00175892" w:rsidP="00175892">
            <w:pPr>
              <w:spacing w:after="40" w:line="240" w:lineRule="auto"/>
              <w:rPr>
                <w:rFonts w:ascii="Times New Roman" w:hAnsi="Times New Roman" w:cs="Times New Roman"/>
                <w:sz w:val="24"/>
                <w:szCs w:val="24"/>
              </w:rPr>
            </w:pPr>
            <w:r w:rsidRPr="00014A56">
              <w:rPr>
                <w:rFonts w:ascii="Times New Roman" w:hAnsi="Times New Roman" w:cs="Times New Roman"/>
                <w:sz w:val="24"/>
                <w:szCs w:val="24"/>
              </w:rPr>
              <w:t xml:space="preserve">ДП "ВО ПМЗ </w:t>
            </w:r>
            <w:proofErr w:type="spellStart"/>
            <w:r w:rsidRPr="00014A56">
              <w:rPr>
                <w:rFonts w:ascii="Times New Roman" w:hAnsi="Times New Roman" w:cs="Times New Roman"/>
                <w:sz w:val="24"/>
                <w:szCs w:val="24"/>
              </w:rPr>
              <w:t>ім</w:t>
            </w:r>
            <w:proofErr w:type="spellEnd"/>
            <w:r w:rsidRPr="00014A56">
              <w:rPr>
                <w:rFonts w:ascii="Times New Roman" w:hAnsi="Times New Roman" w:cs="Times New Roman"/>
                <w:sz w:val="24"/>
                <w:szCs w:val="24"/>
              </w:rPr>
              <w:t xml:space="preserve"> О. М. Макарова"</w:t>
            </w:r>
          </w:p>
        </w:tc>
      </w:tr>
      <w:tr w:rsidR="00175892" w:rsidRPr="003D2E0C" w:rsidTr="00FE1030">
        <w:trPr>
          <w:trHeight w:val="273"/>
        </w:trPr>
        <w:tc>
          <w:tcPr>
            <w:tcW w:w="9526" w:type="dxa"/>
            <w:gridSpan w:val="2"/>
            <w:shd w:val="clear" w:color="000000" w:fill="FFFFFF"/>
            <w:vAlign w:val="center"/>
          </w:tcPr>
          <w:p w:rsidR="00175892" w:rsidRPr="00014A56" w:rsidRDefault="00175892" w:rsidP="00175892">
            <w:pPr>
              <w:spacing w:after="40" w:line="240" w:lineRule="auto"/>
              <w:jc w:val="center"/>
              <w:rPr>
                <w:rFonts w:ascii="Times New Roman" w:hAnsi="Times New Roman" w:cs="Times New Roman"/>
                <w:bCs/>
                <w:sz w:val="24"/>
                <w:szCs w:val="24"/>
              </w:rPr>
            </w:pPr>
            <w:r w:rsidRPr="00014A56">
              <w:rPr>
                <w:rFonts w:ascii="Times New Roman" w:hAnsi="Times New Roman" w:cs="Times New Roman"/>
                <w:bCs/>
                <w:sz w:val="24"/>
                <w:szCs w:val="24"/>
              </w:rPr>
              <w:t>НАК "Нафтогаз України"</w:t>
            </w:r>
          </w:p>
        </w:tc>
      </w:tr>
      <w:tr w:rsidR="00175892" w:rsidRPr="003D2E0C" w:rsidTr="00FE1030">
        <w:trPr>
          <w:trHeight w:val="213"/>
        </w:trPr>
        <w:tc>
          <w:tcPr>
            <w:tcW w:w="2864" w:type="dxa"/>
            <w:shd w:val="clear" w:color="000000" w:fill="FFFFFF"/>
            <w:vAlign w:val="center"/>
          </w:tcPr>
          <w:p w:rsidR="00175892" w:rsidRPr="003D2E0C" w:rsidRDefault="00175892" w:rsidP="00175892">
            <w:pPr>
              <w:spacing w:after="40" w:line="240" w:lineRule="auto"/>
              <w:jc w:val="center"/>
              <w:rPr>
                <w:rFonts w:ascii="Times New Roman" w:hAnsi="Times New Roman" w:cs="Times New Roman"/>
                <w:sz w:val="24"/>
                <w:szCs w:val="24"/>
              </w:rPr>
            </w:pPr>
            <w:r w:rsidRPr="003D2E0C">
              <w:rPr>
                <w:rFonts w:ascii="Times New Roman" w:hAnsi="Times New Roman" w:cs="Times New Roman"/>
                <w:sz w:val="24"/>
                <w:szCs w:val="24"/>
              </w:rPr>
              <w:t>30019801</w:t>
            </w:r>
          </w:p>
        </w:tc>
        <w:tc>
          <w:tcPr>
            <w:tcW w:w="6662" w:type="dxa"/>
            <w:shd w:val="clear" w:color="000000" w:fill="FFFFFF"/>
            <w:vAlign w:val="center"/>
          </w:tcPr>
          <w:p w:rsidR="00175892" w:rsidRPr="00014A56" w:rsidRDefault="00175892" w:rsidP="00175892">
            <w:pPr>
              <w:spacing w:after="40" w:line="240" w:lineRule="auto"/>
              <w:rPr>
                <w:rFonts w:ascii="Times New Roman" w:hAnsi="Times New Roman" w:cs="Times New Roman"/>
                <w:sz w:val="24"/>
                <w:szCs w:val="24"/>
              </w:rPr>
            </w:pPr>
            <w:r w:rsidRPr="00014A56">
              <w:rPr>
                <w:rFonts w:ascii="Times New Roman" w:hAnsi="Times New Roman" w:cs="Times New Roman"/>
                <w:sz w:val="24"/>
                <w:szCs w:val="24"/>
              </w:rPr>
              <w:t>АТ "Укртрансгаз"</w:t>
            </w:r>
          </w:p>
        </w:tc>
      </w:tr>
      <w:tr w:rsidR="00175892" w:rsidRPr="003D2E0C" w:rsidTr="00FE1030">
        <w:trPr>
          <w:trHeight w:val="357"/>
        </w:trPr>
        <w:tc>
          <w:tcPr>
            <w:tcW w:w="9526" w:type="dxa"/>
            <w:gridSpan w:val="2"/>
            <w:shd w:val="clear" w:color="auto" w:fill="auto"/>
            <w:vAlign w:val="bottom"/>
            <w:hideMark/>
          </w:tcPr>
          <w:p w:rsidR="00175892" w:rsidRPr="00014A56" w:rsidRDefault="00175892" w:rsidP="00175892">
            <w:pPr>
              <w:spacing w:after="40" w:line="240" w:lineRule="auto"/>
              <w:jc w:val="center"/>
              <w:rPr>
                <w:rFonts w:ascii="Times New Roman" w:hAnsi="Times New Roman" w:cs="Times New Roman"/>
                <w:bCs/>
                <w:sz w:val="24"/>
                <w:szCs w:val="24"/>
              </w:rPr>
            </w:pPr>
            <w:r w:rsidRPr="00014A56">
              <w:rPr>
                <w:rFonts w:ascii="Times New Roman" w:hAnsi="Times New Roman" w:cs="Times New Roman"/>
                <w:bCs/>
                <w:sz w:val="24"/>
                <w:szCs w:val="24"/>
              </w:rPr>
              <w:t>ДК "</w:t>
            </w:r>
            <w:proofErr w:type="spellStart"/>
            <w:r w:rsidRPr="00014A56">
              <w:rPr>
                <w:rFonts w:ascii="Times New Roman" w:hAnsi="Times New Roman" w:cs="Times New Roman"/>
                <w:bCs/>
                <w:sz w:val="24"/>
                <w:szCs w:val="24"/>
              </w:rPr>
              <w:t>Укроборонпром</w:t>
            </w:r>
            <w:proofErr w:type="spellEnd"/>
            <w:r w:rsidRPr="00014A56">
              <w:rPr>
                <w:rFonts w:ascii="Times New Roman" w:hAnsi="Times New Roman" w:cs="Times New Roman"/>
                <w:bCs/>
                <w:sz w:val="24"/>
                <w:szCs w:val="24"/>
              </w:rPr>
              <w:t>"</w:t>
            </w:r>
          </w:p>
        </w:tc>
      </w:tr>
      <w:tr w:rsidR="00175892" w:rsidRPr="003D2E0C" w:rsidTr="00FE1030">
        <w:trPr>
          <w:trHeight w:val="310"/>
        </w:trPr>
        <w:tc>
          <w:tcPr>
            <w:tcW w:w="2864" w:type="dxa"/>
            <w:shd w:val="clear" w:color="000000" w:fill="FFFFFF"/>
            <w:vAlign w:val="center"/>
            <w:hideMark/>
          </w:tcPr>
          <w:p w:rsidR="00175892" w:rsidRPr="003D2E0C" w:rsidRDefault="00175892" w:rsidP="00175892">
            <w:pPr>
              <w:spacing w:after="40" w:line="240" w:lineRule="auto"/>
              <w:jc w:val="center"/>
              <w:rPr>
                <w:rFonts w:ascii="Times New Roman" w:hAnsi="Times New Roman" w:cs="Times New Roman"/>
                <w:sz w:val="24"/>
                <w:szCs w:val="24"/>
              </w:rPr>
            </w:pPr>
            <w:r w:rsidRPr="003D2E0C">
              <w:rPr>
                <w:rFonts w:ascii="Times New Roman" w:hAnsi="Times New Roman" w:cs="Times New Roman"/>
                <w:sz w:val="24"/>
                <w:szCs w:val="24"/>
              </w:rPr>
              <w:t>31821381</w:t>
            </w:r>
          </w:p>
        </w:tc>
        <w:tc>
          <w:tcPr>
            <w:tcW w:w="6662" w:type="dxa"/>
            <w:shd w:val="clear" w:color="000000" w:fill="FFFFFF"/>
            <w:vAlign w:val="center"/>
            <w:hideMark/>
          </w:tcPr>
          <w:p w:rsidR="00175892" w:rsidRPr="00014A56" w:rsidRDefault="00175892" w:rsidP="00175892">
            <w:pPr>
              <w:spacing w:after="40" w:line="240" w:lineRule="auto"/>
              <w:rPr>
                <w:rFonts w:ascii="Times New Roman" w:hAnsi="Times New Roman" w:cs="Times New Roman"/>
                <w:sz w:val="24"/>
                <w:szCs w:val="24"/>
              </w:rPr>
            </w:pPr>
            <w:r w:rsidRPr="00014A56">
              <w:rPr>
                <w:rFonts w:ascii="Times New Roman" w:hAnsi="Times New Roman" w:cs="Times New Roman"/>
                <w:sz w:val="24"/>
                <w:szCs w:val="24"/>
              </w:rPr>
              <w:t>ДП "НВКГ "Зоря"-"</w:t>
            </w:r>
            <w:proofErr w:type="spellStart"/>
            <w:r w:rsidRPr="00014A56">
              <w:rPr>
                <w:rFonts w:ascii="Times New Roman" w:hAnsi="Times New Roman" w:cs="Times New Roman"/>
                <w:sz w:val="24"/>
                <w:szCs w:val="24"/>
              </w:rPr>
              <w:t>Машпроект</w:t>
            </w:r>
            <w:proofErr w:type="spellEnd"/>
            <w:r w:rsidRPr="00014A56">
              <w:rPr>
                <w:rFonts w:ascii="Times New Roman" w:hAnsi="Times New Roman" w:cs="Times New Roman"/>
                <w:sz w:val="24"/>
                <w:szCs w:val="24"/>
              </w:rPr>
              <w:t xml:space="preserve">" </w:t>
            </w:r>
          </w:p>
        </w:tc>
      </w:tr>
      <w:tr w:rsidR="00175892" w:rsidRPr="003D2E0C" w:rsidTr="00FE1030">
        <w:trPr>
          <w:trHeight w:val="310"/>
        </w:trPr>
        <w:tc>
          <w:tcPr>
            <w:tcW w:w="2864" w:type="dxa"/>
            <w:tcBorders>
              <w:top w:val="single" w:sz="4" w:space="0" w:color="auto"/>
              <w:left w:val="single" w:sz="4" w:space="0" w:color="auto"/>
              <w:bottom w:val="single" w:sz="4" w:space="0" w:color="auto"/>
              <w:right w:val="single" w:sz="4" w:space="0" w:color="auto"/>
            </w:tcBorders>
            <w:shd w:val="clear" w:color="000000" w:fill="FFFFFF"/>
            <w:vAlign w:val="center"/>
          </w:tcPr>
          <w:p w:rsidR="00175892" w:rsidRPr="003D2E0C" w:rsidRDefault="00175892" w:rsidP="00175892">
            <w:pPr>
              <w:spacing w:after="40" w:line="240" w:lineRule="auto"/>
              <w:jc w:val="center"/>
              <w:rPr>
                <w:rFonts w:ascii="Times New Roman" w:hAnsi="Times New Roman" w:cs="Times New Roman"/>
                <w:sz w:val="24"/>
                <w:szCs w:val="24"/>
              </w:rPr>
            </w:pPr>
            <w:r w:rsidRPr="003D2E0C">
              <w:rPr>
                <w:rFonts w:ascii="Times New Roman" w:hAnsi="Times New Roman" w:cs="Times New Roman"/>
                <w:sz w:val="24"/>
                <w:szCs w:val="24"/>
              </w:rPr>
              <w:t>14315629</w:t>
            </w:r>
          </w:p>
        </w:tc>
        <w:tc>
          <w:tcPr>
            <w:tcW w:w="6662" w:type="dxa"/>
            <w:tcBorders>
              <w:top w:val="single" w:sz="4" w:space="0" w:color="auto"/>
              <w:left w:val="single" w:sz="4" w:space="0" w:color="auto"/>
              <w:bottom w:val="single" w:sz="4" w:space="0" w:color="auto"/>
              <w:right w:val="single" w:sz="4" w:space="0" w:color="auto"/>
            </w:tcBorders>
            <w:shd w:val="clear" w:color="000000" w:fill="FFFFFF"/>
            <w:vAlign w:val="center"/>
          </w:tcPr>
          <w:p w:rsidR="00175892" w:rsidRPr="00014A56" w:rsidRDefault="00175892" w:rsidP="00175892">
            <w:pPr>
              <w:spacing w:after="40" w:line="240" w:lineRule="auto"/>
              <w:rPr>
                <w:rFonts w:ascii="Times New Roman" w:hAnsi="Times New Roman" w:cs="Times New Roman"/>
                <w:sz w:val="24"/>
                <w:szCs w:val="24"/>
              </w:rPr>
            </w:pPr>
            <w:r w:rsidRPr="00014A56">
              <w:rPr>
                <w:rFonts w:ascii="Times New Roman" w:hAnsi="Times New Roman" w:cs="Times New Roman"/>
                <w:sz w:val="24"/>
                <w:szCs w:val="24"/>
              </w:rPr>
              <w:t>ДП "Завод імені В. О. Малишева"</w:t>
            </w:r>
          </w:p>
        </w:tc>
      </w:tr>
    </w:tbl>
    <w:p w:rsidR="00014A56" w:rsidRPr="003D2E0C" w:rsidRDefault="00014A56" w:rsidP="00014A56">
      <w:pPr>
        <w:pStyle w:val="HTML"/>
        <w:shd w:val="clear" w:color="auto" w:fill="FFFFFF"/>
        <w:tabs>
          <w:tab w:val="clear" w:pos="2748"/>
          <w:tab w:val="clear" w:pos="3664"/>
          <w:tab w:val="clear" w:pos="4580"/>
          <w:tab w:val="clear" w:pos="5496"/>
          <w:tab w:val="clear" w:pos="6412"/>
          <w:tab w:val="clear" w:pos="7328"/>
          <w:tab w:val="clear" w:pos="8244"/>
          <w:tab w:val="left" w:pos="7797"/>
          <w:tab w:val="left" w:pos="8080"/>
          <w:tab w:val="left" w:pos="8505"/>
        </w:tabs>
        <w:textAlignment w:val="baseline"/>
        <w:rPr>
          <w:rFonts w:ascii="Times New Roman" w:eastAsia="Calibri" w:hAnsi="Times New Roman" w:cs="Segoe UI"/>
          <w:color w:val="000000"/>
          <w:sz w:val="14"/>
          <w:szCs w:val="28"/>
        </w:rPr>
      </w:pPr>
    </w:p>
    <w:p w:rsidR="00653906" w:rsidRPr="0012041C" w:rsidRDefault="00653906" w:rsidP="00653906">
      <w:pPr>
        <w:jc w:val="both"/>
        <w:rPr>
          <w:rFonts w:ascii="Times New Roman" w:hAnsi="Times New Roman" w:cs="Times New Roman"/>
          <w:sz w:val="24"/>
          <w:szCs w:val="24"/>
        </w:rPr>
      </w:pPr>
      <w:r>
        <w:rPr>
          <w:rFonts w:ascii="Times New Roman" w:eastAsia="Calibri" w:hAnsi="Times New Roman" w:cs="Segoe UI"/>
          <w:color w:val="000000"/>
          <w:sz w:val="24"/>
          <w:szCs w:val="24"/>
        </w:rPr>
        <w:t xml:space="preserve">*згідно розпорядження Кабінету Міністрів України від </w:t>
      </w:r>
      <w:r w:rsidR="009F4FA5">
        <w:rPr>
          <w:rFonts w:ascii="Times New Roman" w:eastAsia="Calibri" w:hAnsi="Times New Roman" w:cs="Segoe UI"/>
          <w:color w:val="000000"/>
          <w:sz w:val="24"/>
          <w:szCs w:val="24"/>
        </w:rPr>
        <w:t>28.07.2021 № 833-р</w:t>
      </w:r>
      <w:r>
        <w:rPr>
          <w:rFonts w:ascii="Times New Roman" w:eastAsia="Calibri" w:hAnsi="Times New Roman" w:cs="Segoe UI"/>
          <w:color w:val="000000"/>
          <w:sz w:val="24"/>
          <w:szCs w:val="24"/>
        </w:rPr>
        <w:t xml:space="preserve"> </w:t>
      </w:r>
      <w:r w:rsidR="009F4FA5">
        <w:rPr>
          <w:rFonts w:ascii="Times New Roman" w:eastAsia="Calibri" w:hAnsi="Times New Roman" w:cs="Segoe UI"/>
          <w:color w:val="000000"/>
          <w:sz w:val="24"/>
          <w:szCs w:val="24"/>
        </w:rPr>
        <w:t>«Деякі питання управління об</w:t>
      </w:r>
      <w:r w:rsidR="009F4FA5">
        <w:rPr>
          <w:rFonts w:ascii="Times New Roman" w:eastAsia="Calibri" w:hAnsi="Times New Roman" w:cs="Segoe UI"/>
          <w:color w:val="000000"/>
          <w:sz w:val="24"/>
          <w:szCs w:val="24"/>
          <w:lang w:val="en-US"/>
        </w:rPr>
        <w:t>’</w:t>
      </w:r>
      <w:proofErr w:type="spellStart"/>
      <w:r w:rsidR="009F4FA5">
        <w:rPr>
          <w:rFonts w:ascii="Times New Roman" w:eastAsia="Calibri" w:hAnsi="Times New Roman" w:cs="Segoe UI"/>
          <w:color w:val="000000"/>
          <w:sz w:val="24"/>
          <w:szCs w:val="24"/>
        </w:rPr>
        <w:t>єктами</w:t>
      </w:r>
      <w:proofErr w:type="spellEnd"/>
      <w:r w:rsidR="009F4FA5">
        <w:rPr>
          <w:rFonts w:ascii="Times New Roman" w:eastAsia="Calibri" w:hAnsi="Times New Roman" w:cs="Segoe UI"/>
          <w:color w:val="000000"/>
          <w:sz w:val="24"/>
          <w:szCs w:val="24"/>
        </w:rPr>
        <w:t xml:space="preserve"> державної власності» </w:t>
      </w:r>
      <w:proofErr w:type="spellStart"/>
      <w:r>
        <w:rPr>
          <w:rFonts w:ascii="Times New Roman" w:eastAsia="Calibri" w:hAnsi="Times New Roman" w:cs="Segoe UI"/>
          <w:color w:val="000000"/>
          <w:sz w:val="24"/>
          <w:szCs w:val="24"/>
        </w:rPr>
        <w:t>суб</w:t>
      </w:r>
      <w:proofErr w:type="spellEnd"/>
      <w:r>
        <w:rPr>
          <w:rFonts w:ascii="Times New Roman" w:eastAsia="Calibri" w:hAnsi="Times New Roman" w:cs="Segoe UI"/>
          <w:color w:val="000000"/>
          <w:sz w:val="24"/>
          <w:szCs w:val="24"/>
          <w:lang w:val="en-US"/>
        </w:rPr>
        <w:t>’</w:t>
      </w:r>
      <w:proofErr w:type="spellStart"/>
      <w:r>
        <w:rPr>
          <w:rFonts w:ascii="Times New Roman" w:eastAsia="Calibri" w:hAnsi="Times New Roman" w:cs="Segoe UI"/>
          <w:color w:val="000000"/>
          <w:sz w:val="24"/>
          <w:szCs w:val="24"/>
        </w:rPr>
        <w:t>єкти</w:t>
      </w:r>
      <w:proofErr w:type="spellEnd"/>
      <w:r>
        <w:rPr>
          <w:rFonts w:ascii="Times New Roman" w:eastAsia="Calibri" w:hAnsi="Times New Roman" w:cs="Segoe UI"/>
          <w:color w:val="000000"/>
          <w:sz w:val="24"/>
          <w:szCs w:val="24"/>
        </w:rPr>
        <w:t xml:space="preserve"> господарювання </w:t>
      </w:r>
      <w:r w:rsidRPr="0012041C">
        <w:rPr>
          <w:rFonts w:ascii="Times New Roman" w:hAnsi="Times New Roman" w:cs="Times New Roman"/>
          <w:sz w:val="24"/>
          <w:szCs w:val="24"/>
        </w:rPr>
        <w:t>передані в сферу управління Міненерго</w:t>
      </w:r>
    </w:p>
    <w:p w:rsidR="00C45F2E" w:rsidRPr="00653906" w:rsidRDefault="00C45F2E" w:rsidP="00014A56">
      <w:pPr>
        <w:spacing w:after="0" w:line="240" w:lineRule="auto"/>
        <w:jc w:val="both"/>
        <w:rPr>
          <w:rFonts w:ascii="Times New Roman" w:eastAsia="Calibri" w:hAnsi="Times New Roman" w:cs="Segoe UI"/>
          <w:color w:val="000000"/>
          <w:sz w:val="24"/>
          <w:szCs w:val="24"/>
        </w:rPr>
      </w:pPr>
    </w:p>
    <w:sectPr w:rsidR="00C45F2E" w:rsidRPr="00653906" w:rsidSect="00B56764">
      <w:headerReference w:type="default" r:id="rId41"/>
      <w:pgSz w:w="11906" w:h="16838" w:code="9"/>
      <w:pgMar w:top="851" w:right="567" w:bottom="737" w:left="1418"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4391E" w:rsidRDefault="0084391E" w:rsidP="006D72BE">
      <w:pPr>
        <w:spacing w:after="0" w:line="240" w:lineRule="auto"/>
      </w:pPr>
      <w:r>
        <w:separator/>
      </w:r>
    </w:p>
  </w:endnote>
  <w:endnote w:type="continuationSeparator" w:id="0">
    <w:p w:rsidR="0084391E" w:rsidRDefault="0084391E" w:rsidP="006D72B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Antiqua">
    <w:altName w:val="Segoe UI"/>
    <w:charset w:val="00"/>
    <w:family w:val="swiss"/>
    <w:pitch w:val="variable"/>
    <w:sig w:usb0="00000203" w:usb1="00000000" w:usb2="00000000" w:usb3="00000000" w:csb0="00000005"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4391E" w:rsidRDefault="0084391E" w:rsidP="006D72BE">
      <w:pPr>
        <w:spacing w:after="0" w:line="240" w:lineRule="auto"/>
      </w:pPr>
      <w:r>
        <w:separator/>
      </w:r>
    </w:p>
  </w:footnote>
  <w:footnote w:type="continuationSeparator" w:id="0">
    <w:p w:rsidR="0084391E" w:rsidRDefault="0084391E" w:rsidP="006D72B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74611704"/>
      <w:docPartObj>
        <w:docPartGallery w:val="Page Numbers (Top of Page)"/>
        <w:docPartUnique/>
      </w:docPartObj>
    </w:sdtPr>
    <w:sdtEndPr>
      <w:rPr>
        <w:noProof/>
        <w:sz w:val="20"/>
      </w:rPr>
    </w:sdtEndPr>
    <w:sdtContent>
      <w:p w:rsidR="00006F9F" w:rsidRPr="00E7332F" w:rsidRDefault="00006F9F" w:rsidP="003130A5">
        <w:pPr>
          <w:pStyle w:val="a7"/>
          <w:jc w:val="center"/>
          <w:rPr>
            <w:sz w:val="20"/>
          </w:rPr>
        </w:pPr>
        <w:r w:rsidRPr="00E7332F">
          <w:rPr>
            <w:sz w:val="20"/>
          </w:rPr>
          <w:fldChar w:fldCharType="begin"/>
        </w:r>
        <w:r w:rsidRPr="00E7332F">
          <w:rPr>
            <w:sz w:val="20"/>
          </w:rPr>
          <w:instrText xml:space="preserve"> PAGE   \* MERGEFORMAT </w:instrText>
        </w:r>
        <w:r w:rsidRPr="00E7332F">
          <w:rPr>
            <w:sz w:val="20"/>
          </w:rPr>
          <w:fldChar w:fldCharType="separate"/>
        </w:r>
        <w:r w:rsidR="003042A4">
          <w:rPr>
            <w:noProof/>
            <w:sz w:val="20"/>
          </w:rPr>
          <w:t>36</w:t>
        </w:r>
        <w:r w:rsidRPr="00E7332F">
          <w:rPr>
            <w:noProof/>
            <w:sz w:val="20"/>
          </w:rPr>
          <w:fldChar w:fldCharType="end"/>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8D3EAF"/>
    <w:multiLevelType w:val="hybridMultilevel"/>
    <w:tmpl w:val="09041908"/>
    <w:lvl w:ilvl="0" w:tplc="551694B2">
      <w:start w:val="10"/>
      <w:numFmt w:val="bullet"/>
      <w:lvlText w:val="-"/>
      <w:lvlJc w:val="left"/>
      <w:pPr>
        <w:ind w:left="927" w:hanging="360"/>
      </w:pPr>
      <w:rPr>
        <w:rFonts w:ascii="Times New Roman" w:eastAsiaTheme="minorHAnsi" w:hAnsi="Times New Roman" w:cs="Times New Roman" w:hint="default"/>
      </w:rPr>
    </w:lvl>
    <w:lvl w:ilvl="1" w:tplc="04220003" w:tentative="1">
      <w:start w:val="1"/>
      <w:numFmt w:val="bullet"/>
      <w:lvlText w:val="o"/>
      <w:lvlJc w:val="left"/>
      <w:pPr>
        <w:ind w:left="1647" w:hanging="360"/>
      </w:pPr>
      <w:rPr>
        <w:rFonts w:ascii="Courier New" w:hAnsi="Courier New" w:cs="Courier New" w:hint="default"/>
      </w:rPr>
    </w:lvl>
    <w:lvl w:ilvl="2" w:tplc="04220005" w:tentative="1">
      <w:start w:val="1"/>
      <w:numFmt w:val="bullet"/>
      <w:lvlText w:val=""/>
      <w:lvlJc w:val="left"/>
      <w:pPr>
        <w:ind w:left="2367" w:hanging="360"/>
      </w:pPr>
      <w:rPr>
        <w:rFonts w:ascii="Wingdings" w:hAnsi="Wingdings" w:hint="default"/>
      </w:rPr>
    </w:lvl>
    <w:lvl w:ilvl="3" w:tplc="04220001" w:tentative="1">
      <w:start w:val="1"/>
      <w:numFmt w:val="bullet"/>
      <w:lvlText w:val=""/>
      <w:lvlJc w:val="left"/>
      <w:pPr>
        <w:ind w:left="3087" w:hanging="360"/>
      </w:pPr>
      <w:rPr>
        <w:rFonts w:ascii="Symbol" w:hAnsi="Symbol" w:hint="default"/>
      </w:rPr>
    </w:lvl>
    <w:lvl w:ilvl="4" w:tplc="04220003" w:tentative="1">
      <w:start w:val="1"/>
      <w:numFmt w:val="bullet"/>
      <w:lvlText w:val="o"/>
      <w:lvlJc w:val="left"/>
      <w:pPr>
        <w:ind w:left="3807" w:hanging="360"/>
      </w:pPr>
      <w:rPr>
        <w:rFonts w:ascii="Courier New" w:hAnsi="Courier New" w:cs="Courier New" w:hint="default"/>
      </w:rPr>
    </w:lvl>
    <w:lvl w:ilvl="5" w:tplc="04220005" w:tentative="1">
      <w:start w:val="1"/>
      <w:numFmt w:val="bullet"/>
      <w:lvlText w:val=""/>
      <w:lvlJc w:val="left"/>
      <w:pPr>
        <w:ind w:left="4527" w:hanging="360"/>
      </w:pPr>
      <w:rPr>
        <w:rFonts w:ascii="Wingdings" w:hAnsi="Wingdings" w:hint="default"/>
      </w:rPr>
    </w:lvl>
    <w:lvl w:ilvl="6" w:tplc="04220001" w:tentative="1">
      <w:start w:val="1"/>
      <w:numFmt w:val="bullet"/>
      <w:lvlText w:val=""/>
      <w:lvlJc w:val="left"/>
      <w:pPr>
        <w:ind w:left="5247" w:hanging="360"/>
      </w:pPr>
      <w:rPr>
        <w:rFonts w:ascii="Symbol" w:hAnsi="Symbol" w:hint="default"/>
      </w:rPr>
    </w:lvl>
    <w:lvl w:ilvl="7" w:tplc="04220003" w:tentative="1">
      <w:start w:val="1"/>
      <w:numFmt w:val="bullet"/>
      <w:lvlText w:val="o"/>
      <w:lvlJc w:val="left"/>
      <w:pPr>
        <w:ind w:left="5967" w:hanging="360"/>
      </w:pPr>
      <w:rPr>
        <w:rFonts w:ascii="Courier New" w:hAnsi="Courier New" w:cs="Courier New" w:hint="default"/>
      </w:rPr>
    </w:lvl>
    <w:lvl w:ilvl="8" w:tplc="04220005" w:tentative="1">
      <w:start w:val="1"/>
      <w:numFmt w:val="bullet"/>
      <w:lvlText w:val=""/>
      <w:lvlJc w:val="left"/>
      <w:pPr>
        <w:ind w:left="6687" w:hanging="360"/>
      </w:pPr>
      <w:rPr>
        <w:rFonts w:ascii="Wingdings" w:hAnsi="Wingdings" w:hint="default"/>
      </w:rPr>
    </w:lvl>
  </w:abstractNum>
  <w:abstractNum w:abstractNumId="1" w15:restartNumberingAfterBreak="0">
    <w:nsid w:val="05693273"/>
    <w:multiLevelType w:val="hybridMultilevel"/>
    <w:tmpl w:val="64B4B520"/>
    <w:lvl w:ilvl="0" w:tplc="0422000B">
      <w:start w:val="1"/>
      <w:numFmt w:val="bullet"/>
      <w:lvlText w:val=""/>
      <w:lvlJc w:val="left"/>
      <w:pPr>
        <w:ind w:left="1571" w:hanging="360"/>
      </w:pPr>
      <w:rPr>
        <w:rFonts w:ascii="Wingdings" w:hAnsi="Wingdings" w:hint="default"/>
      </w:rPr>
    </w:lvl>
    <w:lvl w:ilvl="1" w:tplc="04220003" w:tentative="1">
      <w:start w:val="1"/>
      <w:numFmt w:val="bullet"/>
      <w:lvlText w:val="o"/>
      <w:lvlJc w:val="left"/>
      <w:pPr>
        <w:ind w:left="2291" w:hanging="360"/>
      </w:pPr>
      <w:rPr>
        <w:rFonts w:ascii="Courier New" w:hAnsi="Courier New" w:cs="Courier New" w:hint="default"/>
      </w:rPr>
    </w:lvl>
    <w:lvl w:ilvl="2" w:tplc="04220005" w:tentative="1">
      <w:start w:val="1"/>
      <w:numFmt w:val="bullet"/>
      <w:lvlText w:val=""/>
      <w:lvlJc w:val="left"/>
      <w:pPr>
        <w:ind w:left="3011" w:hanging="360"/>
      </w:pPr>
      <w:rPr>
        <w:rFonts w:ascii="Wingdings" w:hAnsi="Wingdings" w:hint="default"/>
      </w:rPr>
    </w:lvl>
    <w:lvl w:ilvl="3" w:tplc="04220001" w:tentative="1">
      <w:start w:val="1"/>
      <w:numFmt w:val="bullet"/>
      <w:lvlText w:val=""/>
      <w:lvlJc w:val="left"/>
      <w:pPr>
        <w:ind w:left="3731" w:hanging="360"/>
      </w:pPr>
      <w:rPr>
        <w:rFonts w:ascii="Symbol" w:hAnsi="Symbol" w:hint="default"/>
      </w:rPr>
    </w:lvl>
    <w:lvl w:ilvl="4" w:tplc="04220003" w:tentative="1">
      <w:start w:val="1"/>
      <w:numFmt w:val="bullet"/>
      <w:lvlText w:val="o"/>
      <w:lvlJc w:val="left"/>
      <w:pPr>
        <w:ind w:left="4451" w:hanging="360"/>
      </w:pPr>
      <w:rPr>
        <w:rFonts w:ascii="Courier New" w:hAnsi="Courier New" w:cs="Courier New" w:hint="default"/>
      </w:rPr>
    </w:lvl>
    <w:lvl w:ilvl="5" w:tplc="04220005" w:tentative="1">
      <w:start w:val="1"/>
      <w:numFmt w:val="bullet"/>
      <w:lvlText w:val=""/>
      <w:lvlJc w:val="left"/>
      <w:pPr>
        <w:ind w:left="5171" w:hanging="360"/>
      </w:pPr>
      <w:rPr>
        <w:rFonts w:ascii="Wingdings" w:hAnsi="Wingdings" w:hint="default"/>
      </w:rPr>
    </w:lvl>
    <w:lvl w:ilvl="6" w:tplc="04220001" w:tentative="1">
      <w:start w:val="1"/>
      <w:numFmt w:val="bullet"/>
      <w:lvlText w:val=""/>
      <w:lvlJc w:val="left"/>
      <w:pPr>
        <w:ind w:left="5891" w:hanging="360"/>
      </w:pPr>
      <w:rPr>
        <w:rFonts w:ascii="Symbol" w:hAnsi="Symbol" w:hint="default"/>
      </w:rPr>
    </w:lvl>
    <w:lvl w:ilvl="7" w:tplc="04220003" w:tentative="1">
      <w:start w:val="1"/>
      <w:numFmt w:val="bullet"/>
      <w:lvlText w:val="o"/>
      <w:lvlJc w:val="left"/>
      <w:pPr>
        <w:ind w:left="6611" w:hanging="360"/>
      </w:pPr>
      <w:rPr>
        <w:rFonts w:ascii="Courier New" w:hAnsi="Courier New" w:cs="Courier New" w:hint="default"/>
      </w:rPr>
    </w:lvl>
    <w:lvl w:ilvl="8" w:tplc="04220005" w:tentative="1">
      <w:start w:val="1"/>
      <w:numFmt w:val="bullet"/>
      <w:lvlText w:val=""/>
      <w:lvlJc w:val="left"/>
      <w:pPr>
        <w:ind w:left="7331" w:hanging="360"/>
      </w:pPr>
      <w:rPr>
        <w:rFonts w:ascii="Wingdings" w:hAnsi="Wingdings" w:hint="default"/>
      </w:rPr>
    </w:lvl>
  </w:abstractNum>
  <w:abstractNum w:abstractNumId="2" w15:restartNumberingAfterBreak="0">
    <w:nsid w:val="09577ADC"/>
    <w:multiLevelType w:val="hybridMultilevel"/>
    <w:tmpl w:val="CB64744E"/>
    <w:lvl w:ilvl="0" w:tplc="8EE6B56E">
      <w:start w:val="1"/>
      <w:numFmt w:val="decimal"/>
      <w:lvlText w:val="%1)"/>
      <w:lvlJc w:val="left"/>
      <w:pPr>
        <w:ind w:left="1068" w:hanging="360"/>
      </w:pPr>
      <w:rPr>
        <w:rFonts w:hint="default"/>
      </w:rPr>
    </w:lvl>
    <w:lvl w:ilvl="1" w:tplc="04220019" w:tentative="1">
      <w:start w:val="1"/>
      <w:numFmt w:val="lowerLetter"/>
      <w:lvlText w:val="%2."/>
      <w:lvlJc w:val="left"/>
      <w:pPr>
        <w:ind w:left="1788" w:hanging="360"/>
      </w:pPr>
    </w:lvl>
    <w:lvl w:ilvl="2" w:tplc="0422001B" w:tentative="1">
      <w:start w:val="1"/>
      <w:numFmt w:val="lowerRoman"/>
      <w:lvlText w:val="%3."/>
      <w:lvlJc w:val="right"/>
      <w:pPr>
        <w:ind w:left="2508" w:hanging="180"/>
      </w:pPr>
    </w:lvl>
    <w:lvl w:ilvl="3" w:tplc="0422000F" w:tentative="1">
      <w:start w:val="1"/>
      <w:numFmt w:val="decimal"/>
      <w:lvlText w:val="%4."/>
      <w:lvlJc w:val="left"/>
      <w:pPr>
        <w:ind w:left="3228" w:hanging="360"/>
      </w:pPr>
    </w:lvl>
    <w:lvl w:ilvl="4" w:tplc="04220019" w:tentative="1">
      <w:start w:val="1"/>
      <w:numFmt w:val="lowerLetter"/>
      <w:lvlText w:val="%5."/>
      <w:lvlJc w:val="left"/>
      <w:pPr>
        <w:ind w:left="3948" w:hanging="360"/>
      </w:pPr>
    </w:lvl>
    <w:lvl w:ilvl="5" w:tplc="0422001B" w:tentative="1">
      <w:start w:val="1"/>
      <w:numFmt w:val="lowerRoman"/>
      <w:lvlText w:val="%6."/>
      <w:lvlJc w:val="right"/>
      <w:pPr>
        <w:ind w:left="4668" w:hanging="180"/>
      </w:pPr>
    </w:lvl>
    <w:lvl w:ilvl="6" w:tplc="0422000F" w:tentative="1">
      <w:start w:val="1"/>
      <w:numFmt w:val="decimal"/>
      <w:lvlText w:val="%7."/>
      <w:lvlJc w:val="left"/>
      <w:pPr>
        <w:ind w:left="5388" w:hanging="360"/>
      </w:pPr>
    </w:lvl>
    <w:lvl w:ilvl="7" w:tplc="04220019" w:tentative="1">
      <w:start w:val="1"/>
      <w:numFmt w:val="lowerLetter"/>
      <w:lvlText w:val="%8."/>
      <w:lvlJc w:val="left"/>
      <w:pPr>
        <w:ind w:left="6108" w:hanging="360"/>
      </w:pPr>
    </w:lvl>
    <w:lvl w:ilvl="8" w:tplc="0422001B" w:tentative="1">
      <w:start w:val="1"/>
      <w:numFmt w:val="lowerRoman"/>
      <w:lvlText w:val="%9."/>
      <w:lvlJc w:val="right"/>
      <w:pPr>
        <w:ind w:left="6828" w:hanging="180"/>
      </w:pPr>
    </w:lvl>
  </w:abstractNum>
  <w:abstractNum w:abstractNumId="3" w15:restartNumberingAfterBreak="0">
    <w:nsid w:val="0B1C6FF7"/>
    <w:multiLevelType w:val="hybridMultilevel"/>
    <w:tmpl w:val="74FA18B0"/>
    <w:lvl w:ilvl="0" w:tplc="7A4051C6">
      <w:start w:val="63"/>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4" w15:restartNumberingAfterBreak="0">
    <w:nsid w:val="0BD218AB"/>
    <w:multiLevelType w:val="multilevel"/>
    <w:tmpl w:val="FB0A5A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BD8037C"/>
    <w:multiLevelType w:val="hybridMultilevel"/>
    <w:tmpl w:val="203CFC16"/>
    <w:lvl w:ilvl="0" w:tplc="04220011">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6" w15:restartNumberingAfterBreak="0">
    <w:nsid w:val="15B565CC"/>
    <w:multiLevelType w:val="hybridMultilevel"/>
    <w:tmpl w:val="890280FE"/>
    <w:lvl w:ilvl="0" w:tplc="04220011">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7" w15:restartNumberingAfterBreak="0">
    <w:nsid w:val="194A6A26"/>
    <w:multiLevelType w:val="hybridMultilevel"/>
    <w:tmpl w:val="17C07EB8"/>
    <w:lvl w:ilvl="0" w:tplc="04190001">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8" w15:restartNumberingAfterBreak="0">
    <w:nsid w:val="1A112AAC"/>
    <w:multiLevelType w:val="hybridMultilevel"/>
    <w:tmpl w:val="12EC32CA"/>
    <w:lvl w:ilvl="0" w:tplc="3A70452C">
      <w:start w:val="1"/>
      <w:numFmt w:val="decimal"/>
      <w:lvlText w:val="%1."/>
      <w:lvlJc w:val="left"/>
      <w:pPr>
        <w:ind w:left="1069" w:hanging="360"/>
      </w:pPr>
      <w:rPr>
        <w:rFonts w:hint="default"/>
      </w:rPr>
    </w:lvl>
    <w:lvl w:ilvl="1" w:tplc="04220019" w:tentative="1">
      <w:start w:val="1"/>
      <w:numFmt w:val="lowerLetter"/>
      <w:lvlText w:val="%2."/>
      <w:lvlJc w:val="left"/>
      <w:pPr>
        <w:ind w:left="1789" w:hanging="360"/>
      </w:pPr>
    </w:lvl>
    <w:lvl w:ilvl="2" w:tplc="0422001B" w:tentative="1">
      <w:start w:val="1"/>
      <w:numFmt w:val="lowerRoman"/>
      <w:lvlText w:val="%3."/>
      <w:lvlJc w:val="right"/>
      <w:pPr>
        <w:ind w:left="2509" w:hanging="180"/>
      </w:pPr>
    </w:lvl>
    <w:lvl w:ilvl="3" w:tplc="0422000F" w:tentative="1">
      <w:start w:val="1"/>
      <w:numFmt w:val="decimal"/>
      <w:lvlText w:val="%4."/>
      <w:lvlJc w:val="left"/>
      <w:pPr>
        <w:ind w:left="3229" w:hanging="360"/>
      </w:pPr>
    </w:lvl>
    <w:lvl w:ilvl="4" w:tplc="04220019" w:tentative="1">
      <w:start w:val="1"/>
      <w:numFmt w:val="lowerLetter"/>
      <w:lvlText w:val="%5."/>
      <w:lvlJc w:val="left"/>
      <w:pPr>
        <w:ind w:left="3949" w:hanging="360"/>
      </w:pPr>
    </w:lvl>
    <w:lvl w:ilvl="5" w:tplc="0422001B" w:tentative="1">
      <w:start w:val="1"/>
      <w:numFmt w:val="lowerRoman"/>
      <w:lvlText w:val="%6."/>
      <w:lvlJc w:val="right"/>
      <w:pPr>
        <w:ind w:left="4669" w:hanging="180"/>
      </w:pPr>
    </w:lvl>
    <w:lvl w:ilvl="6" w:tplc="0422000F" w:tentative="1">
      <w:start w:val="1"/>
      <w:numFmt w:val="decimal"/>
      <w:lvlText w:val="%7."/>
      <w:lvlJc w:val="left"/>
      <w:pPr>
        <w:ind w:left="5389" w:hanging="360"/>
      </w:pPr>
    </w:lvl>
    <w:lvl w:ilvl="7" w:tplc="04220019" w:tentative="1">
      <w:start w:val="1"/>
      <w:numFmt w:val="lowerLetter"/>
      <w:lvlText w:val="%8."/>
      <w:lvlJc w:val="left"/>
      <w:pPr>
        <w:ind w:left="6109" w:hanging="360"/>
      </w:pPr>
    </w:lvl>
    <w:lvl w:ilvl="8" w:tplc="0422001B" w:tentative="1">
      <w:start w:val="1"/>
      <w:numFmt w:val="lowerRoman"/>
      <w:lvlText w:val="%9."/>
      <w:lvlJc w:val="right"/>
      <w:pPr>
        <w:ind w:left="6829" w:hanging="180"/>
      </w:pPr>
    </w:lvl>
  </w:abstractNum>
  <w:abstractNum w:abstractNumId="9" w15:restartNumberingAfterBreak="0">
    <w:nsid w:val="200D3AD7"/>
    <w:multiLevelType w:val="hybridMultilevel"/>
    <w:tmpl w:val="1B6AF7A4"/>
    <w:lvl w:ilvl="0" w:tplc="04220001">
      <w:start w:val="1"/>
      <w:numFmt w:val="bullet"/>
      <w:lvlText w:val=""/>
      <w:lvlJc w:val="left"/>
      <w:pPr>
        <w:ind w:left="1287" w:hanging="360"/>
      </w:pPr>
      <w:rPr>
        <w:rFonts w:ascii="Symbol" w:hAnsi="Symbol"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10" w15:restartNumberingAfterBreak="0">
    <w:nsid w:val="243E2AA2"/>
    <w:multiLevelType w:val="hybridMultilevel"/>
    <w:tmpl w:val="ADAE85BA"/>
    <w:lvl w:ilvl="0" w:tplc="551694B2">
      <w:start w:val="10"/>
      <w:numFmt w:val="bullet"/>
      <w:lvlText w:val="-"/>
      <w:lvlJc w:val="left"/>
      <w:pPr>
        <w:ind w:left="2912" w:hanging="360"/>
      </w:pPr>
      <w:rPr>
        <w:rFonts w:ascii="Times New Roman" w:eastAsiaTheme="minorHAnsi" w:hAnsi="Times New Roman" w:cs="Times New Roman"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11" w15:restartNumberingAfterBreak="0">
    <w:nsid w:val="24B57FC8"/>
    <w:multiLevelType w:val="hybridMultilevel"/>
    <w:tmpl w:val="AAAABFFC"/>
    <w:lvl w:ilvl="0" w:tplc="E4EAA828">
      <w:start w:val="1"/>
      <w:numFmt w:val="bullet"/>
      <w:lvlText w:val="-"/>
      <w:lvlJc w:val="left"/>
      <w:pPr>
        <w:ind w:left="927" w:hanging="360"/>
      </w:pPr>
      <w:rPr>
        <w:rFonts w:ascii="Times New Roman" w:eastAsia="Times New Roman" w:hAnsi="Times New Roman" w:cs="Times New Roman" w:hint="default"/>
      </w:rPr>
    </w:lvl>
    <w:lvl w:ilvl="1" w:tplc="04220003" w:tentative="1">
      <w:start w:val="1"/>
      <w:numFmt w:val="bullet"/>
      <w:lvlText w:val="o"/>
      <w:lvlJc w:val="left"/>
      <w:pPr>
        <w:ind w:left="1647" w:hanging="360"/>
      </w:pPr>
      <w:rPr>
        <w:rFonts w:ascii="Courier New" w:hAnsi="Courier New" w:cs="Courier New" w:hint="default"/>
      </w:rPr>
    </w:lvl>
    <w:lvl w:ilvl="2" w:tplc="04220005" w:tentative="1">
      <w:start w:val="1"/>
      <w:numFmt w:val="bullet"/>
      <w:lvlText w:val=""/>
      <w:lvlJc w:val="left"/>
      <w:pPr>
        <w:ind w:left="2367" w:hanging="360"/>
      </w:pPr>
      <w:rPr>
        <w:rFonts w:ascii="Wingdings" w:hAnsi="Wingdings" w:hint="default"/>
      </w:rPr>
    </w:lvl>
    <w:lvl w:ilvl="3" w:tplc="04220001" w:tentative="1">
      <w:start w:val="1"/>
      <w:numFmt w:val="bullet"/>
      <w:lvlText w:val=""/>
      <w:lvlJc w:val="left"/>
      <w:pPr>
        <w:ind w:left="3087" w:hanging="360"/>
      </w:pPr>
      <w:rPr>
        <w:rFonts w:ascii="Symbol" w:hAnsi="Symbol" w:hint="default"/>
      </w:rPr>
    </w:lvl>
    <w:lvl w:ilvl="4" w:tplc="04220003" w:tentative="1">
      <w:start w:val="1"/>
      <w:numFmt w:val="bullet"/>
      <w:lvlText w:val="o"/>
      <w:lvlJc w:val="left"/>
      <w:pPr>
        <w:ind w:left="3807" w:hanging="360"/>
      </w:pPr>
      <w:rPr>
        <w:rFonts w:ascii="Courier New" w:hAnsi="Courier New" w:cs="Courier New" w:hint="default"/>
      </w:rPr>
    </w:lvl>
    <w:lvl w:ilvl="5" w:tplc="04220005" w:tentative="1">
      <w:start w:val="1"/>
      <w:numFmt w:val="bullet"/>
      <w:lvlText w:val=""/>
      <w:lvlJc w:val="left"/>
      <w:pPr>
        <w:ind w:left="4527" w:hanging="360"/>
      </w:pPr>
      <w:rPr>
        <w:rFonts w:ascii="Wingdings" w:hAnsi="Wingdings" w:hint="default"/>
      </w:rPr>
    </w:lvl>
    <w:lvl w:ilvl="6" w:tplc="04220001" w:tentative="1">
      <w:start w:val="1"/>
      <w:numFmt w:val="bullet"/>
      <w:lvlText w:val=""/>
      <w:lvlJc w:val="left"/>
      <w:pPr>
        <w:ind w:left="5247" w:hanging="360"/>
      </w:pPr>
      <w:rPr>
        <w:rFonts w:ascii="Symbol" w:hAnsi="Symbol" w:hint="default"/>
      </w:rPr>
    </w:lvl>
    <w:lvl w:ilvl="7" w:tplc="04220003" w:tentative="1">
      <w:start w:val="1"/>
      <w:numFmt w:val="bullet"/>
      <w:lvlText w:val="o"/>
      <w:lvlJc w:val="left"/>
      <w:pPr>
        <w:ind w:left="5967" w:hanging="360"/>
      </w:pPr>
      <w:rPr>
        <w:rFonts w:ascii="Courier New" w:hAnsi="Courier New" w:cs="Courier New" w:hint="default"/>
      </w:rPr>
    </w:lvl>
    <w:lvl w:ilvl="8" w:tplc="04220005" w:tentative="1">
      <w:start w:val="1"/>
      <w:numFmt w:val="bullet"/>
      <w:lvlText w:val=""/>
      <w:lvlJc w:val="left"/>
      <w:pPr>
        <w:ind w:left="6687" w:hanging="360"/>
      </w:pPr>
      <w:rPr>
        <w:rFonts w:ascii="Wingdings" w:hAnsi="Wingdings" w:hint="default"/>
      </w:rPr>
    </w:lvl>
  </w:abstractNum>
  <w:abstractNum w:abstractNumId="12" w15:restartNumberingAfterBreak="0">
    <w:nsid w:val="25AE2F78"/>
    <w:multiLevelType w:val="hybridMultilevel"/>
    <w:tmpl w:val="8C5C48CC"/>
    <w:lvl w:ilvl="0" w:tplc="20D63648">
      <w:start w:val="1"/>
      <w:numFmt w:val="bullet"/>
      <w:lvlText w:val="-"/>
      <w:lvlJc w:val="left"/>
      <w:pPr>
        <w:ind w:left="1920" w:hanging="360"/>
      </w:pPr>
      <w:rPr>
        <w:rFonts w:ascii="Times New Roman" w:eastAsia="Times New Roman" w:hAnsi="Times New Roman" w:cs="Times New Roman" w:hint="default"/>
      </w:rPr>
    </w:lvl>
    <w:lvl w:ilvl="1" w:tplc="E1A414E8" w:tentative="1">
      <w:start w:val="1"/>
      <w:numFmt w:val="bullet"/>
      <w:lvlText w:val="o"/>
      <w:lvlJc w:val="left"/>
      <w:pPr>
        <w:ind w:left="1440" w:hanging="360"/>
      </w:pPr>
      <w:rPr>
        <w:rFonts w:ascii="Courier New" w:hAnsi="Courier New" w:cs="Courier New" w:hint="default"/>
      </w:rPr>
    </w:lvl>
    <w:lvl w:ilvl="2" w:tplc="91226F0C" w:tentative="1">
      <w:start w:val="1"/>
      <w:numFmt w:val="bullet"/>
      <w:lvlText w:val=""/>
      <w:lvlJc w:val="left"/>
      <w:pPr>
        <w:ind w:left="2160" w:hanging="360"/>
      </w:pPr>
      <w:rPr>
        <w:rFonts w:ascii="Wingdings" w:hAnsi="Wingdings" w:hint="default"/>
      </w:rPr>
    </w:lvl>
    <w:lvl w:ilvl="3" w:tplc="B6E4DC78" w:tentative="1">
      <w:start w:val="1"/>
      <w:numFmt w:val="bullet"/>
      <w:lvlText w:val=""/>
      <w:lvlJc w:val="left"/>
      <w:pPr>
        <w:ind w:left="2880" w:hanging="360"/>
      </w:pPr>
      <w:rPr>
        <w:rFonts w:ascii="Symbol" w:hAnsi="Symbol" w:hint="default"/>
      </w:rPr>
    </w:lvl>
    <w:lvl w:ilvl="4" w:tplc="86DE8AF2" w:tentative="1">
      <w:start w:val="1"/>
      <w:numFmt w:val="bullet"/>
      <w:lvlText w:val="o"/>
      <w:lvlJc w:val="left"/>
      <w:pPr>
        <w:ind w:left="3600" w:hanging="360"/>
      </w:pPr>
      <w:rPr>
        <w:rFonts w:ascii="Courier New" w:hAnsi="Courier New" w:cs="Courier New" w:hint="default"/>
      </w:rPr>
    </w:lvl>
    <w:lvl w:ilvl="5" w:tplc="C69AB44C" w:tentative="1">
      <w:start w:val="1"/>
      <w:numFmt w:val="bullet"/>
      <w:lvlText w:val=""/>
      <w:lvlJc w:val="left"/>
      <w:pPr>
        <w:ind w:left="4320" w:hanging="360"/>
      </w:pPr>
      <w:rPr>
        <w:rFonts w:ascii="Wingdings" w:hAnsi="Wingdings" w:hint="default"/>
      </w:rPr>
    </w:lvl>
    <w:lvl w:ilvl="6" w:tplc="4DAC0F40" w:tentative="1">
      <w:start w:val="1"/>
      <w:numFmt w:val="bullet"/>
      <w:lvlText w:val=""/>
      <w:lvlJc w:val="left"/>
      <w:pPr>
        <w:ind w:left="5040" w:hanging="360"/>
      </w:pPr>
      <w:rPr>
        <w:rFonts w:ascii="Symbol" w:hAnsi="Symbol" w:hint="default"/>
      </w:rPr>
    </w:lvl>
    <w:lvl w:ilvl="7" w:tplc="817015A4" w:tentative="1">
      <w:start w:val="1"/>
      <w:numFmt w:val="bullet"/>
      <w:lvlText w:val="o"/>
      <w:lvlJc w:val="left"/>
      <w:pPr>
        <w:ind w:left="5760" w:hanging="360"/>
      </w:pPr>
      <w:rPr>
        <w:rFonts w:ascii="Courier New" w:hAnsi="Courier New" w:cs="Courier New" w:hint="default"/>
      </w:rPr>
    </w:lvl>
    <w:lvl w:ilvl="8" w:tplc="77AEB06C" w:tentative="1">
      <w:start w:val="1"/>
      <w:numFmt w:val="bullet"/>
      <w:lvlText w:val=""/>
      <w:lvlJc w:val="left"/>
      <w:pPr>
        <w:ind w:left="6480" w:hanging="360"/>
      </w:pPr>
      <w:rPr>
        <w:rFonts w:ascii="Wingdings" w:hAnsi="Wingdings" w:hint="default"/>
      </w:rPr>
    </w:lvl>
  </w:abstractNum>
  <w:abstractNum w:abstractNumId="13" w15:restartNumberingAfterBreak="0">
    <w:nsid w:val="26D73A2D"/>
    <w:multiLevelType w:val="hybridMultilevel"/>
    <w:tmpl w:val="48321E22"/>
    <w:lvl w:ilvl="0" w:tplc="BE148B02">
      <w:start w:val="1"/>
      <w:numFmt w:val="decimal"/>
      <w:lvlText w:val="%1)"/>
      <w:lvlJc w:val="left"/>
      <w:pPr>
        <w:ind w:left="1069" w:hanging="360"/>
      </w:pPr>
      <w:rPr>
        <w:rFonts w:hint="default"/>
      </w:rPr>
    </w:lvl>
    <w:lvl w:ilvl="1" w:tplc="04220019" w:tentative="1">
      <w:start w:val="1"/>
      <w:numFmt w:val="lowerLetter"/>
      <w:lvlText w:val="%2."/>
      <w:lvlJc w:val="left"/>
      <w:pPr>
        <w:ind w:left="1789" w:hanging="360"/>
      </w:pPr>
    </w:lvl>
    <w:lvl w:ilvl="2" w:tplc="0422001B" w:tentative="1">
      <w:start w:val="1"/>
      <w:numFmt w:val="lowerRoman"/>
      <w:lvlText w:val="%3."/>
      <w:lvlJc w:val="right"/>
      <w:pPr>
        <w:ind w:left="2509" w:hanging="180"/>
      </w:pPr>
    </w:lvl>
    <w:lvl w:ilvl="3" w:tplc="0422000F" w:tentative="1">
      <w:start w:val="1"/>
      <w:numFmt w:val="decimal"/>
      <w:lvlText w:val="%4."/>
      <w:lvlJc w:val="left"/>
      <w:pPr>
        <w:ind w:left="3229" w:hanging="360"/>
      </w:pPr>
    </w:lvl>
    <w:lvl w:ilvl="4" w:tplc="04220019" w:tentative="1">
      <w:start w:val="1"/>
      <w:numFmt w:val="lowerLetter"/>
      <w:lvlText w:val="%5."/>
      <w:lvlJc w:val="left"/>
      <w:pPr>
        <w:ind w:left="3949" w:hanging="360"/>
      </w:pPr>
    </w:lvl>
    <w:lvl w:ilvl="5" w:tplc="0422001B" w:tentative="1">
      <w:start w:val="1"/>
      <w:numFmt w:val="lowerRoman"/>
      <w:lvlText w:val="%6."/>
      <w:lvlJc w:val="right"/>
      <w:pPr>
        <w:ind w:left="4669" w:hanging="180"/>
      </w:pPr>
    </w:lvl>
    <w:lvl w:ilvl="6" w:tplc="0422000F" w:tentative="1">
      <w:start w:val="1"/>
      <w:numFmt w:val="decimal"/>
      <w:lvlText w:val="%7."/>
      <w:lvlJc w:val="left"/>
      <w:pPr>
        <w:ind w:left="5389" w:hanging="360"/>
      </w:pPr>
    </w:lvl>
    <w:lvl w:ilvl="7" w:tplc="04220019" w:tentative="1">
      <w:start w:val="1"/>
      <w:numFmt w:val="lowerLetter"/>
      <w:lvlText w:val="%8."/>
      <w:lvlJc w:val="left"/>
      <w:pPr>
        <w:ind w:left="6109" w:hanging="360"/>
      </w:pPr>
    </w:lvl>
    <w:lvl w:ilvl="8" w:tplc="0422001B" w:tentative="1">
      <w:start w:val="1"/>
      <w:numFmt w:val="lowerRoman"/>
      <w:lvlText w:val="%9."/>
      <w:lvlJc w:val="right"/>
      <w:pPr>
        <w:ind w:left="6829" w:hanging="180"/>
      </w:pPr>
    </w:lvl>
  </w:abstractNum>
  <w:abstractNum w:abstractNumId="14" w15:restartNumberingAfterBreak="0">
    <w:nsid w:val="297819A7"/>
    <w:multiLevelType w:val="hybridMultilevel"/>
    <w:tmpl w:val="7E5638E6"/>
    <w:lvl w:ilvl="0" w:tplc="059801C0">
      <w:numFmt w:val="bullet"/>
      <w:lvlText w:val="-"/>
      <w:lvlJc w:val="left"/>
      <w:pPr>
        <w:ind w:left="1069" w:hanging="360"/>
      </w:pPr>
      <w:rPr>
        <w:rFonts w:ascii="Times New Roman" w:eastAsiaTheme="minorHAnsi" w:hAnsi="Times New Roman" w:cs="Times New Roman" w:hint="default"/>
      </w:rPr>
    </w:lvl>
    <w:lvl w:ilvl="1" w:tplc="04220003" w:tentative="1">
      <w:start w:val="1"/>
      <w:numFmt w:val="bullet"/>
      <w:lvlText w:val="o"/>
      <w:lvlJc w:val="left"/>
      <w:pPr>
        <w:ind w:left="1789" w:hanging="360"/>
      </w:pPr>
      <w:rPr>
        <w:rFonts w:ascii="Courier New" w:hAnsi="Courier New" w:cs="Courier New" w:hint="default"/>
      </w:rPr>
    </w:lvl>
    <w:lvl w:ilvl="2" w:tplc="04220005" w:tentative="1">
      <w:start w:val="1"/>
      <w:numFmt w:val="bullet"/>
      <w:lvlText w:val=""/>
      <w:lvlJc w:val="left"/>
      <w:pPr>
        <w:ind w:left="2509" w:hanging="360"/>
      </w:pPr>
      <w:rPr>
        <w:rFonts w:ascii="Wingdings" w:hAnsi="Wingdings" w:hint="default"/>
      </w:rPr>
    </w:lvl>
    <w:lvl w:ilvl="3" w:tplc="04220001" w:tentative="1">
      <w:start w:val="1"/>
      <w:numFmt w:val="bullet"/>
      <w:lvlText w:val=""/>
      <w:lvlJc w:val="left"/>
      <w:pPr>
        <w:ind w:left="3229" w:hanging="360"/>
      </w:pPr>
      <w:rPr>
        <w:rFonts w:ascii="Symbol" w:hAnsi="Symbol" w:hint="default"/>
      </w:rPr>
    </w:lvl>
    <w:lvl w:ilvl="4" w:tplc="04220003" w:tentative="1">
      <w:start w:val="1"/>
      <w:numFmt w:val="bullet"/>
      <w:lvlText w:val="o"/>
      <w:lvlJc w:val="left"/>
      <w:pPr>
        <w:ind w:left="3949" w:hanging="360"/>
      </w:pPr>
      <w:rPr>
        <w:rFonts w:ascii="Courier New" w:hAnsi="Courier New" w:cs="Courier New" w:hint="default"/>
      </w:rPr>
    </w:lvl>
    <w:lvl w:ilvl="5" w:tplc="04220005" w:tentative="1">
      <w:start w:val="1"/>
      <w:numFmt w:val="bullet"/>
      <w:lvlText w:val=""/>
      <w:lvlJc w:val="left"/>
      <w:pPr>
        <w:ind w:left="4669" w:hanging="360"/>
      </w:pPr>
      <w:rPr>
        <w:rFonts w:ascii="Wingdings" w:hAnsi="Wingdings" w:hint="default"/>
      </w:rPr>
    </w:lvl>
    <w:lvl w:ilvl="6" w:tplc="04220001" w:tentative="1">
      <w:start w:val="1"/>
      <w:numFmt w:val="bullet"/>
      <w:lvlText w:val=""/>
      <w:lvlJc w:val="left"/>
      <w:pPr>
        <w:ind w:left="5389" w:hanging="360"/>
      </w:pPr>
      <w:rPr>
        <w:rFonts w:ascii="Symbol" w:hAnsi="Symbol" w:hint="default"/>
      </w:rPr>
    </w:lvl>
    <w:lvl w:ilvl="7" w:tplc="04220003" w:tentative="1">
      <w:start w:val="1"/>
      <w:numFmt w:val="bullet"/>
      <w:lvlText w:val="o"/>
      <w:lvlJc w:val="left"/>
      <w:pPr>
        <w:ind w:left="6109" w:hanging="360"/>
      </w:pPr>
      <w:rPr>
        <w:rFonts w:ascii="Courier New" w:hAnsi="Courier New" w:cs="Courier New" w:hint="default"/>
      </w:rPr>
    </w:lvl>
    <w:lvl w:ilvl="8" w:tplc="04220005" w:tentative="1">
      <w:start w:val="1"/>
      <w:numFmt w:val="bullet"/>
      <w:lvlText w:val=""/>
      <w:lvlJc w:val="left"/>
      <w:pPr>
        <w:ind w:left="6829" w:hanging="360"/>
      </w:pPr>
      <w:rPr>
        <w:rFonts w:ascii="Wingdings" w:hAnsi="Wingdings" w:hint="default"/>
      </w:rPr>
    </w:lvl>
  </w:abstractNum>
  <w:abstractNum w:abstractNumId="15" w15:restartNumberingAfterBreak="0">
    <w:nsid w:val="2AAB13C9"/>
    <w:multiLevelType w:val="hybridMultilevel"/>
    <w:tmpl w:val="203CFC16"/>
    <w:lvl w:ilvl="0" w:tplc="04220011">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6" w15:restartNumberingAfterBreak="0">
    <w:nsid w:val="320F229E"/>
    <w:multiLevelType w:val="hybridMultilevel"/>
    <w:tmpl w:val="771CC9DC"/>
    <w:lvl w:ilvl="0" w:tplc="AFBA01EE">
      <w:start w:val="1"/>
      <w:numFmt w:val="bullet"/>
      <w:lvlText w:val="-"/>
      <w:lvlJc w:val="left"/>
      <w:pPr>
        <w:ind w:left="1069" w:hanging="360"/>
      </w:pPr>
      <w:rPr>
        <w:rFonts w:ascii="Times New Roman" w:eastAsia="Times New Roman" w:hAnsi="Times New Roman" w:cs="Times New Roman" w:hint="default"/>
      </w:rPr>
    </w:lvl>
    <w:lvl w:ilvl="1" w:tplc="04220003" w:tentative="1">
      <w:start w:val="1"/>
      <w:numFmt w:val="bullet"/>
      <w:lvlText w:val="o"/>
      <w:lvlJc w:val="left"/>
      <w:pPr>
        <w:ind w:left="1789" w:hanging="360"/>
      </w:pPr>
      <w:rPr>
        <w:rFonts w:ascii="Courier New" w:hAnsi="Courier New" w:cs="Courier New" w:hint="default"/>
      </w:rPr>
    </w:lvl>
    <w:lvl w:ilvl="2" w:tplc="04220005" w:tentative="1">
      <w:start w:val="1"/>
      <w:numFmt w:val="bullet"/>
      <w:lvlText w:val=""/>
      <w:lvlJc w:val="left"/>
      <w:pPr>
        <w:ind w:left="2509" w:hanging="360"/>
      </w:pPr>
      <w:rPr>
        <w:rFonts w:ascii="Wingdings" w:hAnsi="Wingdings" w:hint="default"/>
      </w:rPr>
    </w:lvl>
    <w:lvl w:ilvl="3" w:tplc="04220001" w:tentative="1">
      <w:start w:val="1"/>
      <w:numFmt w:val="bullet"/>
      <w:lvlText w:val=""/>
      <w:lvlJc w:val="left"/>
      <w:pPr>
        <w:ind w:left="3229" w:hanging="360"/>
      </w:pPr>
      <w:rPr>
        <w:rFonts w:ascii="Symbol" w:hAnsi="Symbol" w:hint="default"/>
      </w:rPr>
    </w:lvl>
    <w:lvl w:ilvl="4" w:tplc="04220003" w:tentative="1">
      <w:start w:val="1"/>
      <w:numFmt w:val="bullet"/>
      <w:lvlText w:val="o"/>
      <w:lvlJc w:val="left"/>
      <w:pPr>
        <w:ind w:left="3949" w:hanging="360"/>
      </w:pPr>
      <w:rPr>
        <w:rFonts w:ascii="Courier New" w:hAnsi="Courier New" w:cs="Courier New" w:hint="default"/>
      </w:rPr>
    </w:lvl>
    <w:lvl w:ilvl="5" w:tplc="04220005" w:tentative="1">
      <w:start w:val="1"/>
      <w:numFmt w:val="bullet"/>
      <w:lvlText w:val=""/>
      <w:lvlJc w:val="left"/>
      <w:pPr>
        <w:ind w:left="4669" w:hanging="360"/>
      </w:pPr>
      <w:rPr>
        <w:rFonts w:ascii="Wingdings" w:hAnsi="Wingdings" w:hint="default"/>
      </w:rPr>
    </w:lvl>
    <w:lvl w:ilvl="6" w:tplc="04220001" w:tentative="1">
      <w:start w:val="1"/>
      <w:numFmt w:val="bullet"/>
      <w:lvlText w:val=""/>
      <w:lvlJc w:val="left"/>
      <w:pPr>
        <w:ind w:left="5389" w:hanging="360"/>
      </w:pPr>
      <w:rPr>
        <w:rFonts w:ascii="Symbol" w:hAnsi="Symbol" w:hint="default"/>
      </w:rPr>
    </w:lvl>
    <w:lvl w:ilvl="7" w:tplc="04220003" w:tentative="1">
      <w:start w:val="1"/>
      <w:numFmt w:val="bullet"/>
      <w:lvlText w:val="o"/>
      <w:lvlJc w:val="left"/>
      <w:pPr>
        <w:ind w:left="6109" w:hanging="360"/>
      </w:pPr>
      <w:rPr>
        <w:rFonts w:ascii="Courier New" w:hAnsi="Courier New" w:cs="Courier New" w:hint="default"/>
      </w:rPr>
    </w:lvl>
    <w:lvl w:ilvl="8" w:tplc="04220005" w:tentative="1">
      <w:start w:val="1"/>
      <w:numFmt w:val="bullet"/>
      <w:lvlText w:val=""/>
      <w:lvlJc w:val="left"/>
      <w:pPr>
        <w:ind w:left="6829" w:hanging="360"/>
      </w:pPr>
      <w:rPr>
        <w:rFonts w:ascii="Wingdings" w:hAnsi="Wingdings" w:hint="default"/>
      </w:rPr>
    </w:lvl>
  </w:abstractNum>
  <w:abstractNum w:abstractNumId="17" w15:restartNumberingAfterBreak="0">
    <w:nsid w:val="34804365"/>
    <w:multiLevelType w:val="hybridMultilevel"/>
    <w:tmpl w:val="9620C47C"/>
    <w:lvl w:ilvl="0" w:tplc="F2FE9376">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8" w15:restartNumberingAfterBreak="0">
    <w:nsid w:val="359D0084"/>
    <w:multiLevelType w:val="hybridMultilevel"/>
    <w:tmpl w:val="EF5A0EA8"/>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9" w15:restartNumberingAfterBreak="0">
    <w:nsid w:val="399D731F"/>
    <w:multiLevelType w:val="hybridMultilevel"/>
    <w:tmpl w:val="A3BAB610"/>
    <w:lvl w:ilvl="0" w:tplc="EA58F1C4">
      <w:numFmt w:val="bullet"/>
      <w:lvlText w:val="-"/>
      <w:lvlJc w:val="left"/>
      <w:pPr>
        <w:ind w:left="1211" w:hanging="360"/>
      </w:pPr>
      <w:rPr>
        <w:rFonts w:ascii="Times New Roman" w:eastAsia="Times New Roman" w:hAnsi="Times New Roman" w:cs="Times New Roman" w:hint="default"/>
      </w:rPr>
    </w:lvl>
    <w:lvl w:ilvl="1" w:tplc="04220003" w:tentative="1">
      <w:start w:val="1"/>
      <w:numFmt w:val="bullet"/>
      <w:lvlText w:val="o"/>
      <w:lvlJc w:val="left"/>
      <w:pPr>
        <w:ind w:left="1931" w:hanging="360"/>
      </w:pPr>
      <w:rPr>
        <w:rFonts w:ascii="Courier New" w:hAnsi="Courier New" w:cs="Courier New" w:hint="default"/>
      </w:rPr>
    </w:lvl>
    <w:lvl w:ilvl="2" w:tplc="04220005" w:tentative="1">
      <w:start w:val="1"/>
      <w:numFmt w:val="bullet"/>
      <w:lvlText w:val=""/>
      <w:lvlJc w:val="left"/>
      <w:pPr>
        <w:ind w:left="2651" w:hanging="360"/>
      </w:pPr>
      <w:rPr>
        <w:rFonts w:ascii="Wingdings" w:hAnsi="Wingdings" w:hint="default"/>
      </w:rPr>
    </w:lvl>
    <w:lvl w:ilvl="3" w:tplc="04220001" w:tentative="1">
      <w:start w:val="1"/>
      <w:numFmt w:val="bullet"/>
      <w:lvlText w:val=""/>
      <w:lvlJc w:val="left"/>
      <w:pPr>
        <w:ind w:left="3371" w:hanging="360"/>
      </w:pPr>
      <w:rPr>
        <w:rFonts w:ascii="Symbol" w:hAnsi="Symbol" w:hint="default"/>
      </w:rPr>
    </w:lvl>
    <w:lvl w:ilvl="4" w:tplc="04220003" w:tentative="1">
      <w:start w:val="1"/>
      <w:numFmt w:val="bullet"/>
      <w:lvlText w:val="o"/>
      <w:lvlJc w:val="left"/>
      <w:pPr>
        <w:ind w:left="4091" w:hanging="360"/>
      </w:pPr>
      <w:rPr>
        <w:rFonts w:ascii="Courier New" w:hAnsi="Courier New" w:cs="Courier New" w:hint="default"/>
      </w:rPr>
    </w:lvl>
    <w:lvl w:ilvl="5" w:tplc="04220005" w:tentative="1">
      <w:start w:val="1"/>
      <w:numFmt w:val="bullet"/>
      <w:lvlText w:val=""/>
      <w:lvlJc w:val="left"/>
      <w:pPr>
        <w:ind w:left="4811" w:hanging="360"/>
      </w:pPr>
      <w:rPr>
        <w:rFonts w:ascii="Wingdings" w:hAnsi="Wingdings" w:hint="default"/>
      </w:rPr>
    </w:lvl>
    <w:lvl w:ilvl="6" w:tplc="04220001" w:tentative="1">
      <w:start w:val="1"/>
      <w:numFmt w:val="bullet"/>
      <w:lvlText w:val=""/>
      <w:lvlJc w:val="left"/>
      <w:pPr>
        <w:ind w:left="5531" w:hanging="360"/>
      </w:pPr>
      <w:rPr>
        <w:rFonts w:ascii="Symbol" w:hAnsi="Symbol" w:hint="default"/>
      </w:rPr>
    </w:lvl>
    <w:lvl w:ilvl="7" w:tplc="04220003" w:tentative="1">
      <w:start w:val="1"/>
      <w:numFmt w:val="bullet"/>
      <w:lvlText w:val="o"/>
      <w:lvlJc w:val="left"/>
      <w:pPr>
        <w:ind w:left="6251" w:hanging="360"/>
      </w:pPr>
      <w:rPr>
        <w:rFonts w:ascii="Courier New" w:hAnsi="Courier New" w:cs="Courier New" w:hint="default"/>
      </w:rPr>
    </w:lvl>
    <w:lvl w:ilvl="8" w:tplc="04220005" w:tentative="1">
      <w:start w:val="1"/>
      <w:numFmt w:val="bullet"/>
      <w:lvlText w:val=""/>
      <w:lvlJc w:val="left"/>
      <w:pPr>
        <w:ind w:left="6971" w:hanging="360"/>
      </w:pPr>
      <w:rPr>
        <w:rFonts w:ascii="Wingdings" w:hAnsi="Wingdings" w:hint="default"/>
      </w:rPr>
    </w:lvl>
  </w:abstractNum>
  <w:abstractNum w:abstractNumId="20" w15:restartNumberingAfterBreak="0">
    <w:nsid w:val="3C0A0F1C"/>
    <w:multiLevelType w:val="hybridMultilevel"/>
    <w:tmpl w:val="E60CFF2A"/>
    <w:lvl w:ilvl="0" w:tplc="F086D8FC">
      <w:start w:val="4"/>
      <w:numFmt w:val="bullet"/>
      <w:lvlText w:val="-"/>
      <w:lvlJc w:val="left"/>
      <w:pPr>
        <w:ind w:left="3479" w:hanging="360"/>
      </w:pPr>
      <w:rPr>
        <w:rFonts w:ascii="Times New Roman" w:eastAsia="Times New Roman" w:hAnsi="Times New Roman" w:cs="Times New Roman" w:hint="default"/>
      </w:rPr>
    </w:lvl>
    <w:lvl w:ilvl="1" w:tplc="04220003" w:tentative="1">
      <w:start w:val="1"/>
      <w:numFmt w:val="bullet"/>
      <w:lvlText w:val="o"/>
      <w:lvlJc w:val="left"/>
      <w:pPr>
        <w:ind w:left="1800" w:hanging="360"/>
      </w:pPr>
      <w:rPr>
        <w:rFonts w:ascii="Courier New" w:hAnsi="Courier New" w:cs="Courier New" w:hint="default"/>
      </w:rPr>
    </w:lvl>
    <w:lvl w:ilvl="2" w:tplc="04220005" w:tentative="1">
      <w:start w:val="1"/>
      <w:numFmt w:val="bullet"/>
      <w:lvlText w:val=""/>
      <w:lvlJc w:val="left"/>
      <w:pPr>
        <w:ind w:left="2520" w:hanging="360"/>
      </w:pPr>
      <w:rPr>
        <w:rFonts w:ascii="Wingdings" w:hAnsi="Wingdings" w:hint="default"/>
      </w:rPr>
    </w:lvl>
    <w:lvl w:ilvl="3" w:tplc="04220001" w:tentative="1">
      <w:start w:val="1"/>
      <w:numFmt w:val="bullet"/>
      <w:lvlText w:val=""/>
      <w:lvlJc w:val="left"/>
      <w:pPr>
        <w:ind w:left="3240" w:hanging="360"/>
      </w:pPr>
      <w:rPr>
        <w:rFonts w:ascii="Symbol" w:hAnsi="Symbol" w:hint="default"/>
      </w:rPr>
    </w:lvl>
    <w:lvl w:ilvl="4" w:tplc="04220003" w:tentative="1">
      <w:start w:val="1"/>
      <w:numFmt w:val="bullet"/>
      <w:lvlText w:val="o"/>
      <w:lvlJc w:val="left"/>
      <w:pPr>
        <w:ind w:left="3960" w:hanging="360"/>
      </w:pPr>
      <w:rPr>
        <w:rFonts w:ascii="Courier New" w:hAnsi="Courier New" w:cs="Courier New" w:hint="default"/>
      </w:rPr>
    </w:lvl>
    <w:lvl w:ilvl="5" w:tplc="04220005" w:tentative="1">
      <w:start w:val="1"/>
      <w:numFmt w:val="bullet"/>
      <w:lvlText w:val=""/>
      <w:lvlJc w:val="left"/>
      <w:pPr>
        <w:ind w:left="4680" w:hanging="360"/>
      </w:pPr>
      <w:rPr>
        <w:rFonts w:ascii="Wingdings" w:hAnsi="Wingdings" w:hint="default"/>
      </w:rPr>
    </w:lvl>
    <w:lvl w:ilvl="6" w:tplc="04220001" w:tentative="1">
      <w:start w:val="1"/>
      <w:numFmt w:val="bullet"/>
      <w:lvlText w:val=""/>
      <w:lvlJc w:val="left"/>
      <w:pPr>
        <w:ind w:left="5400" w:hanging="360"/>
      </w:pPr>
      <w:rPr>
        <w:rFonts w:ascii="Symbol" w:hAnsi="Symbol" w:hint="default"/>
      </w:rPr>
    </w:lvl>
    <w:lvl w:ilvl="7" w:tplc="04220003" w:tentative="1">
      <w:start w:val="1"/>
      <w:numFmt w:val="bullet"/>
      <w:lvlText w:val="o"/>
      <w:lvlJc w:val="left"/>
      <w:pPr>
        <w:ind w:left="6120" w:hanging="360"/>
      </w:pPr>
      <w:rPr>
        <w:rFonts w:ascii="Courier New" w:hAnsi="Courier New" w:cs="Courier New" w:hint="default"/>
      </w:rPr>
    </w:lvl>
    <w:lvl w:ilvl="8" w:tplc="04220005" w:tentative="1">
      <w:start w:val="1"/>
      <w:numFmt w:val="bullet"/>
      <w:lvlText w:val=""/>
      <w:lvlJc w:val="left"/>
      <w:pPr>
        <w:ind w:left="6840" w:hanging="360"/>
      </w:pPr>
      <w:rPr>
        <w:rFonts w:ascii="Wingdings" w:hAnsi="Wingdings" w:hint="default"/>
      </w:rPr>
    </w:lvl>
  </w:abstractNum>
  <w:abstractNum w:abstractNumId="21" w15:restartNumberingAfterBreak="0">
    <w:nsid w:val="411F7129"/>
    <w:multiLevelType w:val="hybridMultilevel"/>
    <w:tmpl w:val="9A68182A"/>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2" w15:restartNumberingAfterBreak="0">
    <w:nsid w:val="41AC19D7"/>
    <w:multiLevelType w:val="hybridMultilevel"/>
    <w:tmpl w:val="165C1F7E"/>
    <w:lvl w:ilvl="0" w:tplc="04220011">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3" w15:restartNumberingAfterBreak="0">
    <w:nsid w:val="4266757F"/>
    <w:multiLevelType w:val="hybridMultilevel"/>
    <w:tmpl w:val="61C8B736"/>
    <w:lvl w:ilvl="0" w:tplc="68282C4A">
      <w:numFmt w:val="bullet"/>
      <w:lvlText w:val="–"/>
      <w:lvlJc w:val="left"/>
      <w:pPr>
        <w:ind w:left="720" w:hanging="360"/>
      </w:pPr>
      <w:rPr>
        <w:rFonts w:ascii="Times New Roman" w:eastAsiaTheme="minorHAnsi" w:hAnsi="Times New Roman" w:cs="Times New Roman" w:hint="default"/>
      </w:rPr>
    </w:lvl>
    <w:lvl w:ilvl="1" w:tplc="04220003">
      <w:start w:val="1"/>
      <w:numFmt w:val="bullet"/>
      <w:lvlText w:val="o"/>
      <w:lvlJc w:val="left"/>
      <w:pPr>
        <w:ind w:left="1440" w:hanging="360"/>
      </w:pPr>
      <w:rPr>
        <w:rFonts w:ascii="Courier New" w:hAnsi="Courier New" w:cs="Courier New" w:hint="default"/>
      </w:rPr>
    </w:lvl>
    <w:lvl w:ilvl="2" w:tplc="04220005">
      <w:start w:val="1"/>
      <w:numFmt w:val="bullet"/>
      <w:lvlText w:val=""/>
      <w:lvlJc w:val="left"/>
      <w:pPr>
        <w:ind w:left="2160" w:hanging="360"/>
      </w:pPr>
      <w:rPr>
        <w:rFonts w:ascii="Wingdings" w:hAnsi="Wingdings" w:hint="default"/>
      </w:rPr>
    </w:lvl>
    <w:lvl w:ilvl="3" w:tplc="04220001">
      <w:start w:val="1"/>
      <w:numFmt w:val="bullet"/>
      <w:lvlText w:val=""/>
      <w:lvlJc w:val="left"/>
      <w:pPr>
        <w:ind w:left="2880" w:hanging="360"/>
      </w:pPr>
      <w:rPr>
        <w:rFonts w:ascii="Symbol" w:hAnsi="Symbol" w:hint="default"/>
      </w:rPr>
    </w:lvl>
    <w:lvl w:ilvl="4" w:tplc="04220003">
      <w:start w:val="1"/>
      <w:numFmt w:val="bullet"/>
      <w:lvlText w:val="o"/>
      <w:lvlJc w:val="left"/>
      <w:pPr>
        <w:ind w:left="3600" w:hanging="360"/>
      </w:pPr>
      <w:rPr>
        <w:rFonts w:ascii="Courier New" w:hAnsi="Courier New" w:cs="Courier New" w:hint="default"/>
      </w:rPr>
    </w:lvl>
    <w:lvl w:ilvl="5" w:tplc="04220005">
      <w:start w:val="1"/>
      <w:numFmt w:val="bullet"/>
      <w:lvlText w:val=""/>
      <w:lvlJc w:val="left"/>
      <w:pPr>
        <w:ind w:left="4320" w:hanging="360"/>
      </w:pPr>
      <w:rPr>
        <w:rFonts w:ascii="Wingdings" w:hAnsi="Wingdings" w:hint="default"/>
      </w:rPr>
    </w:lvl>
    <w:lvl w:ilvl="6" w:tplc="04220001">
      <w:start w:val="1"/>
      <w:numFmt w:val="bullet"/>
      <w:lvlText w:val=""/>
      <w:lvlJc w:val="left"/>
      <w:pPr>
        <w:ind w:left="5040" w:hanging="360"/>
      </w:pPr>
      <w:rPr>
        <w:rFonts w:ascii="Symbol" w:hAnsi="Symbol" w:hint="default"/>
      </w:rPr>
    </w:lvl>
    <w:lvl w:ilvl="7" w:tplc="04220003">
      <w:start w:val="1"/>
      <w:numFmt w:val="bullet"/>
      <w:lvlText w:val="o"/>
      <w:lvlJc w:val="left"/>
      <w:pPr>
        <w:ind w:left="5760" w:hanging="360"/>
      </w:pPr>
      <w:rPr>
        <w:rFonts w:ascii="Courier New" w:hAnsi="Courier New" w:cs="Courier New" w:hint="default"/>
      </w:rPr>
    </w:lvl>
    <w:lvl w:ilvl="8" w:tplc="04220005">
      <w:start w:val="1"/>
      <w:numFmt w:val="bullet"/>
      <w:lvlText w:val=""/>
      <w:lvlJc w:val="left"/>
      <w:pPr>
        <w:ind w:left="6480" w:hanging="360"/>
      </w:pPr>
      <w:rPr>
        <w:rFonts w:ascii="Wingdings" w:hAnsi="Wingdings" w:hint="default"/>
      </w:rPr>
    </w:lvl>
  </w:abstractNum>
  <w:abstractNum w:abstractNumId="24" w15:restartNumberingAfterBreak="0">
    <w:nsid w:val="47AE133D"/>
    <w:multiLevelType w:val="hybridMultilevel"/>
    <w:tmpl w:val="9A8C8B68"/>
    <w:lvl w:ilvl="0" w:tplc="0422000B">
      <w:start w:val="1"/>
      <w:numFmt w:val="bullet"/>
      <w:lvlText w:val=""/>
      <w:lvlJc w:val="left"/>
      <w:pPr>
        <w:ind w:left="1571" w:hanging="360"/>
      </w:pPr>
      <w:rPr>
        <w:rFonts w:ascii="Wingdings" w:hAnsi="Wingdings" w:hint="default"/>
      </w:rPr>
    </w:lvl>
    <w:lvl w:ilvl="1" w:tplc="04220003" w:tentative="1">
      <w:start w:val="1"/>
      <w:numFmt w:val="bullet"/>
      <w:lvlText w:val="o"/>
      <w:lvlJc w:val="left"/>
      <w:pPr>
        <w:ind w:left="2291" w:hanging="360"/>
      </w:pPr>
      <w:rPr>
        <w:rFonts w:ascii="Courier New" w:hAnsi="Courier New" w:cs="Courier New" w:hint="default"/>
      </w:rPr>
    </w:lvl>
    <w:lvl w:ilvl="2" w:tplc="04220005" w:tentative="1">
      <w:start w:val="1"/>
      <w:numFmt w:val="bullet"/>
      <w:lvlText w:val=""/>
      <w:lvlJc w:val="left"/>
      <w:pPr>
        <w:ind w:left="3011" w:hanging="360"/>
      </w:pPr>
      <w:rPr>
        <w:rFonts w:ascii="Wingdings" w:hAnsi="Wingdings" w:hint="default"/>
      </w:rPr>
    </w:lvl>
    <w:lvl w:ilvl="3" w:tplc="04220001" w:tentative="1">
      <w:start w:val="1"/>
      <w:numFmt w:val="bullet"/>
      <w:lvlText w:val=""/>
      <w:lvlJc w:val="left"/>
      <w:pPr>
        <w:ind w:left="3731" w:hanging="360"/>
      </w:pPr>
      <w:rPr>
        <w:rFonts w:ascii="Symbol" w:hAnsi="Symbol" w:hint="default"/>
      </w:rPr>
    </w:lvl>
    <w:lvl w:ilvl="4" w:tplc="04220003" w:tentative="1">
      <w:start w:val="1"/>
      <w:numFmt w:val="bullet"/>
      <w:lvlText w:val="o"/>
      <w:lvlJc w:val="left"/>
      <w:pPr>
        <w:ind w:left="4451" w:hanging="360"/>
      </w:pPr>
      <w:rPr>
        <w:rFonts w:ascii="Courier New" w:hAnsi="Courier New" w:cs="Courier New" w:hint="default"/>
      </w:rPr>
    </w:lvl>
    <w:lvl w:ilvl="5" w:tplc="04220005" w:tentative="1">
      <w:start w:val="1"/>
      <w:numFmt w:val="bullet"/>
      <w:lvlText w:val=""/>
      <w:lvlJc w:val="left"/>
      <w:pPr>
        <w:ind w:left="5171" w:hanging="360"/>
      </w:pPr>
      <w:rPr>
        <w:rFonts w:ascii="Wingdings" w:hAnsi="Wingdings" w:hint="default"/>
      </w:rPr>
    </w:lvl>
    <w:lvl w:ilvl="6" w:tplc="04220001" w:tentative="1">
      <w:start w:val="1"/>
      <w:numFmt w:val="bullet"/>
      <w:lvlText w:val=""/>
      <w:lvlJc w:val="left"/>
      <w:pPr>
        <w:ind w:left="5891" w:hanging="360"/>
      </w:pPr>
      <w:rPr>
        <w:rFonts w:ascii="Symbol" w:hAnsi="Symbol" w:hint="default"/>
      </w:rPr>
    </w:lvl>
    <w:lvl w:ilvl="7" w:tplc="04220003" w:tentative="1">
      <w:start w:val="1"/>
      <w:numFmt w:val="bullet"/>
      <w:lvlText w:val="o"/>
      <w:lvlJc w:val="left"/>
      <w:pPr>
        <w:ind w:left="6611" w:hanging="360"/>
      </w:pPr>
      <w:rPr>
        <w:rFonts w:ascii="Courier New" w:hAnsi="Courier New" w:cs="Courier New" w:hint="default"/>
      </w:rPr>
    </w:lvl>
    <w:lvl w:ilvl="8" w:tplc="04220005" w:tentative="1">
      <w:start w:val="1"/>
      <w:numFmt w:val="bullet"/>
      <w:lvlText w:val=""/>
      <w:lvlJc w:val="left"/>
      <w:pPr>
        <w:ind w:left="7331" w:hanging="360"/>
      </w:pPr>
      <w:rPr>
        <w:rFonts w:ascii="Wingdings" w:hAnsi="Wingdings" w:hint="default"/>
      </w:rPr>
    </w:lvl>
  </w:abstractNum>
  <w:abstractNum w:abstractNumId="25" w15:restartNumberingAfterBreak="0">
    <w:nsid w:val="48A772CF"/>
    <w:multiLevelType w:val="multilevel"/>
    <w:tmpl w:val="EBF23964"/>
    <w:lvl w:ilvl="0">
      <w:start w:val="1"/>
      <w:numFmt w:val="decimal"/>
      <w:lvlText w:val="%1."/>
      <w:lvlJc w:val="left"/>
      <w:pPr>
        <w:ind w:left="720" w:hanging="360"/>
      </w:pPr>
      <w:rPr>
        <w:rFonts w:hint="default"/>
      </w:rPr>
    </w:lvl>
    <w:lvl w:ilvl="1">
      <w:start w:val="1"/>
      <w:numFmt w:val="decimal"/>
      <w:isLgl/>
      <w:lvlText w:val="%1.%2."/>
      <w:lvlJc w:val="left"/>
      <w:pPr>
        <w:ind w:left="1494" w:hanging="360"/>
      </w:pPr>
      <w:rPr>
        <w:rFonts w:hint="default"/>
        <w:color w:val="auto"/>
      </w:rPr>
    </w:lvl>
    <w:lvl w:ilvl="2">
      <w:start w:val="1"/>
      <w:numFmt w:val="decimal"/>
      <w:isLgl/>
      <w:lvlText w:val="%1.%2.%3."/>
      <w:lvlJc w:val="left"/>
      <w:pPr>
        <w:ind w:left="2628" w:hanging="720"/>
      </w:pPr>
      <w:rPr>
        <w:rFonts w:hint="default"/>
      </w:rPr>
    </w:lvl>
    <w:lvl w:ilvl="3">
      <w:start w:val="1"/>
      <w:numFmt w:val="decimal"/>
      <w:isLgl/>
      <w:lvlText w:val="%1.%2.%3.%4."/>
      <w:lvlJc w:val="left"/>
      <w:pPr>
        <w:ind w:left="3402" w:hanging="720"/>
      </w:pPr>
      <w:rPr>
        <w:rFonts w:hint="default"/>
      </w:rPr>
    </w:lvl>
    <w:lvl w:ilvl="4">
      <w:start w:val="1"/>
      <w:numFmt w:val="decimal"/>
      <w:isLgl/>
      <w:lvlText w:val="%1.%2.%3.%4.%5."/>
      <w:lvlJc w:val="left"/>
      <w:pPr>
        <w:ind w:left="4536" w:hanging="1080"/>
      </w:pPr>
      <w:rPr>
        <w:rFonts w:hint="default"/>
      </w:rPr>
    </w:lvl>
    <w:lvl w:ilvl="5">
      <w:start w:val="1"/>
      <w:numFmt w:val="decimal"/>
      <w:isLgl/>
      <w:lvlText w:val="%1.%2.%3.%4.%5.%6."/>
      <w:lvlJc w:val="left"/>
      <w:pPr>
        <w:ind w:left="5310" w:hanging="1080"/>
      </w:pPr>
      <w:rPr>
        <w:rFonts w:hint="default"/>
      </w:rPr>
    </w:lvl>
    <w:lvl w:ilvl="6">
      <w:start w:val="1"/>
      <w:numFmt w:val="decimal"/>
      <w:isLgl/>
      <w:lvlText w:val="%1.%2.%3.%4.%5.%6.%7."/>
      <w:lvlJc w:val="left"/>
      <w:pPr>
        <w:ind w:left="6444" w:hanging="1440"/>
      </w:pPr>
      <w:rPr>
        <w:rFonts w:hint="default"/>
      </w:rPr>
    </w:lvl>
    <w:lvl w:ilvl="7">
      <w:start w:val="1"/>
      <w:numFmt w:val="decimal"/>
      <w:isLgl/>
      <w:lvlText w:val="%1.%2.%3.%4.%5.%6.%7.%8."/>
      <w:lvlJc w:val="left"/>
      <w:pPr>
        <w:ind w:left="7218" w:hanging="1440"/>
      </w:pPr>
      <w:rPr>
        <w:rFonts w:hint="default"/>
      </w:rPr>
    </w:lvl>
    <w:lvl w:ilvl="8">
      <w:start w:val="1"/>
      <w:numFmt w:val="decimal"/>
      <w:isLgl/>
      <w:lvlText w:val="%1.%2.%3.%4.%5.%6.%7.%8.%9."/>
      <w:lvlJc w:val="left"/>
      <w:pPr>
        <w:ind w:left="8352" w:hanging="1800"/>
      </w:pPr>
      <w:rPr>
        <w:rFonts w:hint="default"/>
      </w:rPr>
    </w:lvl>
  </w:abstractNum>
  <w:abstractNum w:abstractNumId="26" w15:restartNumberingAfterBreak="0">
    <w:nsid w:val="4953452C"/>
    <w:multiLevelType w:val="hybridMultilevel"/>
    <w:tmpl w:val="CB2E5EA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4FCC0CE3"/>
    <w:multiLevelType w:val="hybridMultilevel"/>
    <w:tmpl w:val="29644432"/>
    <w:lvl w:ilvl="0" w:tplc="04220001">
      <w:start w:val="1"/>
      <w:numFmt w:val="bullet"/>
      <w:lvlText w:val=""/>
      <w:lvlJc w:val="left"/>
      <w:pPr>
        <w:ind w:left="720" w:hanging="360"/>
      </w:pPr>
      <w:rPr>
        <w:rFonts w:ascii="Symbol" w:hAnsi="Symbol" w:hint="default"/>
      </w:rPr>
    </w:lvl>
    <w:lvl w:ilvl="1" w:tplc="04220003">
      <w:start w:val="1"/>
      <w:numFmt w:val="bullet"/>
      <w:lvlText w:val="o"/>
      <w:lvlJc w:val="left"/>
      <w:pPr>
        <w:ind w:left="1440" w:hanging="360"/>
      </w:pPr>
      <w:rPr>
        <w:rFonts w:ascii="Courier New" w:hAnsi="Courier New" w:cs="Courier New" w:hint="default"/>
      </w:rPr>
    </w:lvl>
    <w:lvl w:ilvl="2" w:tplc="04220005">
      <w:start w:val="1"/>
      <w:numFmt w:val="bullet"/>
      <w:lvlText w:val=""/>
      <w:lvlJc w:val="left"/>
      <w:pPr>
        <w:ind w:left="2160" w:hanging="360"/>
      </w:pPr>
      <w:rPr>
        <w:rFonts w:ascii="Wingdings" w:hAnsi="Wingdings" w:hint="default"/>
      </w:rPr>
    </w:lvl>
    <w:lvl w:ilvl="3" w:tplc="04220001">
      <w:start w:val="1"/>
      <w:numFmt w:val="bullet"/>
      <w:lvlText w:val=""/>
      <w:lvlJc w:val="left"/>
      <w:pPr>
        <w:ind w:left="2880" w:hanging="360"/>
      </w:pPr>
      <w:rPr>
        <w:rFonts w:ascii="Symbol" w:hAnsi="Symbol" w:hint="default"/>
      </w:rPr>
    </w:lvl>
    <w:lvl w:ilvl="4" w:tplc="04220003">
      <w:start w:val="1"/>
      <w:numFmt w:val="bullet"/>
      <w:lvlText w:val="o"/>
      <w:lvlJc w:val="left"/>
      <w:pPr>
        <w:ind w:left="3600" w:hanging="360"/>
      </w:pPr>
      <w:rPr>
        <w:rFonts w:ascii="Courier New" w:hAnsi="Courier New" w:cs="Courier New" w:hint="default"/>
      </w:rPr>
    </w:lvl>
    <w:lvl w:ilvl="5" w:tplc="04220005">
      <w:start w:val="1"/>
      <w:numFmt w:val="bullet"/>
      <w:lvlText w:val=""/>
      <w:lvlJc w:val="left"/>
      <w:pPr>
        <w:ind w:left="4320" w:hanging="360"/>
      </w:pPr>
      <w:rPr>
        <w:rFonts w:ascii="Wingdings" w:hAnsi="Wingdings" w:hint="default"/>
      </w:rPr>
    </w:lvl>
    <w:lvl w:ilvl="6" w:tplc="04220001">
      <w:start w:val="1"/>
      <w:numFmt w:val="bullet"/>
      <w:lvlText w:val=""/>
      <w:lvlJc w:val="left"/>
      <w:pPr>
        <w:ind w:left="5040" w:hanging="360"/>
      </w:pPr>
      <w:rPr>
        <w:rFonts w:ascii="Symbol" w:hAnsi="Symbol" w:hint="default"/>
      </w:rPr>
    </w:lvl>
    <w:lvl w:ilvl="7" w:tplc="04220003">
      <w:start w:val="1"/>
      <w:numFmt w:val="bullet"/>
      <w:lvlText w:val="o"/>
      <w:lvlJc w:val="left"/>
      <w:pPr>
        <w:ind w:left="5760" w:hanging="360"/>
      </w:pPr>
      <w:rPr>
        <w:rFonts w:ascii="Courier New" w:hAnsi="Courier New" w:cs="Courier New" w:hint="default"/>
      </w:rPr>
    </w:lvl>
    <w:lvl w:ilvl="8" w:tplc="04220005">
      <w:start w:val="1"/>
      <w:numFmt w:val="bullet"/>
      <w:lvlText w:val=""/>
      <w:lvlJc w:val="left"/>
      <w:pPr>
        <w:ind w:left="6480" w:hanging="360"/>
      </w:pPr>
      <w:rPr>
        <w:rFonts w:ascii="Wingdings" w:hAnsi="Wingdings" w:hint="default"/>
      </w:rPr>
    </w:lvl>
  </w:abstractNum>
  <w:abstractNum w:abstractNumId="28" w15:restartNumberingAfterBreak="0">
    <w:nsid w:val="510876EC"/>
    <w:multiLevelType w:val="hybridMultilevel"/>
    <w:tmpl w:val="251E7620"/>
    <w:lvl w:ilvl="0" w:tplc="04220001">
      <w:start w:val="1"/>
      <w:numFmt w:val="bullet"/>
      <w:lvlText w:val=""/>
      <w:lvlJc w:val="left"/>
      <w:pPr>
        <w:ind w:left="1571" w:hanging="360"/>
      </w:pPr>
      <w:rPr>
        <w:rFonts w:ascii="Symbol" w:hAnsi="Symbol" w:hint="default"/>
      </w:rPr>
    </w:lvl>
    <w:lvl w:ilvl="1" w:tplc="04220003" w:tentative="1">
      <w:start w:val="1"/>
      <w:numFmt w:val="bullet"/>
      <w:lvlText w:val="o"/>
      <w:lvlJc w:val="left"/>
      <w:pPr>
        <w:ind w:left="2291" w:hanging="360"/>
      </w:pPr>
      <w:rPr>
        <w:rFonts w:ascii="Courier New" w:hAnsi="Courier New" w:cs="Courier New" w:hint="default"/>
      </w:rPr>
    </w:lvl>
    <w:lvl w:ilvl="2" w:tplc="04220005" w:tentative="1">
      <w:start w:val="1"/>
      <w:numFmt w:val="bullet"/>
      <w:lvlText w:val=""/>
      <w:lvlJc w:val="left"/>
      <w:pPr>
        <w:ind w:left="3011" w:hanging="360"/>
      </w:pPr>
      <w:rPr>
        <w:rFonts w:ascii="Wingdings" w:hAnsi="Wingdings" w:hint="default"/>
      </w:rPr>
    </w:lvl>
    <w:lvl w:ilvl="3" w:tplc="04220001" w:tentative="1">
      <w:start w:val="1"/>
      <w:numFmt w:val="bullet"/>
      <w:lvlText w:val=""/>
      <w:lvlJc w:val="left"/>
      <w:pPr>
        <w:ind w:left="3731" w:hanging="360"/>
      </w:pPr>
      <w:rPr>
        <w:rFonts w:ascii="Symbol" w:hAnsi="Symbol" w:hint="default"/>
      </w:rPr>
    </w:lvl>
    <w:lvl w:ilvl="4" w:tplc="04220003" w:tentative="1">
      <w:start w:val="1"/>
      <w:numFmt w:val="bullet"/>
      <w:lvlText w:val="o"/>
      <w:lvlJc w:val="left"/>
      <w:pPr>
        <w:ind w:left="4451" w:hanging="360"/>
      </w:pPr>
      <w:rPr>
        <w:rFonts w:ascii="Courier New" w:hAnsi="Courier New" w:cs="Courier New" w:hint="default"/>
      </w:rPr>
    </w:lvl>
    <w:lvl w:ilvl="5" w:tplc="04220005" w:tentative="1">
      <w:start w:val="1"/>
      <w:numFmt w:val="bullet"/>
      <w:lvlText w:val=""/>
      <w:lvlJc w:val="left"/>
      <w:pPr>
        <w:ind w:left="5171" w:hanging="360"/>
      </w:pPr>
      <w:rPr>
        <w:rFonts w:ascii="Wingdings" w:hAnsi="Wingdings" w:hint="default"/>
      </w:rPr>
    </w:lvl>
    <w:lvl w:ilvl="6" w:tplc="04220001" w:tentative="1">
      <w:start w:val="1"/>
      <w:numFmt w:val="bullet"/>
      <w:lvlText w:val=""/>
      <w:lvlJc w:val="left"/>
      <w:pPr>
        <w:ind w:left="5891" w:hanging="360"/>
      </w:pPr>
      <w:rPr>
        <w:rFonts w:ascii="Symbol" w:hAnsi="Symbol" w:hint="default"/>
      </w:rPr>
    </w:lvl>
    <w:lvl w:ilvl="7" w:tplc="04220003" w:tentative="1">
      <w:start w:val="1"/>
      <w:numFmt w:val="bullet"/>
      <w:lvlText w:val="o"/>
      <w:lvlJc w:val="left"/>
      <w:pPr>
        <w:ind w:left="6611" w:hanging="360"/>
      </w:pPr>
      <w:rPr>
        <w:rFonts w:ascii="Courier New" w:hAnsi="Courier New" w:cs="Courier New" w:hint="default"/>
      </w:rPr>
    </w:lvl>
    <w:lvl w:ilvl="8" w:tplc="04220005" w:tentative="1">
      <w:start w:val="1"/>
      <w:numFmt w:val="bullet"/>
      <w:lvlText w:val=""/>
      <w:lvlJc w:val="left"/>
      <w:pPr>
        <w:ind w:left="7331" w:hanging="360"/>
      </w:pPr>
      <w:rPr>
        <w:rFonts w:ascii="Wingdings" w:hAnsi="Wingdings" w:hint="default"/>
      </w:rPr>
    </w:lvl>
  </w:abstractNum>
  <w:abstractNum w:abstractNumId="29" w15:restartNumberingAfterBreak="0">
    <w:nsid w:val="51642C6A"/>
    <w:multiLevelType w:val="hybridMultilevel"/>
    <w:tmpl w:val="31E0AF54"/>
    <w:lvl w:ilvl="0" w:tplc="551694B2">
      <w:start w:val="10"/>
      <w:numFmt w:val="bullet"/>
      <w:lvlText w:val="-"/>
      <w:lvlJc w:val="left"/>
      <w:pPr>
        <w:ind w:left="4755" w:hanging="360"/>
      </w:pPr>
      <w:rPr>
        <w:rFonts w:ascii="Times New Roman" w:eastAsiaTheme="minorHAnsi"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0" w15:restartNumberingAfterBreak="0">
    <w:nsid w:val="52845B17"/>
    <w:multiLevelType w:val="hybridMultilevel"/>
    <w:tmpl w:val="99803E44"/>
    <w:lvl w:ilvl="0" w:tplc="2FE613E6">
      <w:start w:val="1"/>
      <w:numFmt w:val="bullet"/>
      <w:lvlText w:val=""/>
      <w:lvlJc w:val="left"/>
      <w:pPr>
        <w:ind w:left="1429" w:hanging="360"/>
      </w:pPr>
      <w:rPr>
        <w:rFonts w:ascii="Symbol" w:hAnsi="Symbol"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31" w15:restartNumberingAfterBreak="0">
    <w:nsid w:val="53C91B1E"/>
    <w:multiLevelType w:val="hybridMultilevel"/>
    <w:tmpl w:val="50D67F82"/>
    <w:lvl w:ilvl="0" w:tplc="AD3E9B0A">
      <w:numFmt w:val="bullet"/>
      <w:lvlText w:val="-"/>
      <w:lvlJc w:val="left"/>
      <w:pPr>
        <w:ind w:left="927" w:hanging="360"/>
      </w:pPr>
      <w:rPr>
        <w:rFonts w:ascii="Times New Roman" w:eastAsia="Times New Roman" w:hAnsi="Times New Roman" w:cs="Times New Roman" w:hint="default"/>
      </w:rPr>
    </w:lvl>
    <w:lvl w:ilvl="1" w:tplc="04220003" w:tentative="1">
      <w:start w:val="1"/>
      <w:numFmt w:val="bullet"/>
      <w:lvlText w:val="o"/>
      <w:lvlJc w:val="left"/>
      <w:pPr>
        <w:ind w:left="1647" w:hanging="360"/>
      </w:pPr>
      <w:rPr>
        <w:rFonts w:ascii="Courier New" w:hAnsi="Courier New" w:cs="Courier New" w:hint="default"/>
      </w:rPr>
    </w:lvl>
    <w:lvl w:ilvl="2" w:tplc="04220005" w:tentative="1">
      <w:start w:val="1"/>
      <w:numFmt w:val="bullet"/>
      <w:lvlText w:val=""/>
      <w:lvlJc w:val="left"/>
      <w:pPr>
        <w:ind w:left="2367" w:hanging="360"/>
      </w:pPr>
      <w:rPr>
        <w:rFonts w:ascii="Wingdings" w:hAnsi="Wingdings" w:hint="default"/>
      </w:rPr>
    </w:lvl>
    <w:lvl w:ilvl="3" w:tplc="04220001" w:tentative="1">
      <w:start w:val="1"/>
      <w:numFmt w:val="bullet"/>
      <w:lvlText w:val=""/>
      <w:lvlJc w:val="left"/>
      <w:pPr>
        <w:ind w:left="3087" w:hanging="360"/>
      </w:pPr>
      <w:rPr>
        <w:rFonts w:ascii="Symbol" w:hAnsi="Symbol" w:hint="default"/>
      </w:rPr>
    </w:lvl>
    <w:lvl w:ilvl="4" w:tplc="04220003" w:tentative="1">
      <w:start w:val="1"/>
      <w:numFmt w:val="bullet"/>
      <w:lvlText w:val="o"/>
      <w:lvlJc w:val="left"/>
      <w:pPr>
        <w:ind w:left="3807" w:hanging="360"/>
      </w:pPr>
      <w:rPr>
        <w:rFonts w:ascii="Courier New" w:hAnsi="Courier New" w:cs="Courier New" w:hint="default"/>
      </w:rPr>
    </w:lvl>
    <w:lvl w:ilvl="5" w:tplc="04220005" w:tentative="1">
      <w:start w:val="1"/>
      <w:numFmt w:val="bullet"/>
      <w:lvlText w:val=""/>
      <w:lvlJc w:val="left"/>
      <w:pPr>
        <w:ind w:left="4527" w:hanging="360"/>
      </w:pPr>
      <w:rPr>
        <w:rFonts w:ascii="Wingdings" w:hAnsi="Wingdings" w:hint="default"/>
      </w:rPr>
    </w:lvl>
    <w:lvl w:ilvl="6" w:tplc="04220001" w:tentative="1">
      <w:start w:val="1"/>
      <w:numFmt w:val="bullet"/>
      <w:lvlText w:val=""/>
      <w:lvlJc w:val="left"/>
      <w:pPr>
        <w:ind w:left="5247" w:hanging="360"/>
      </w:pPr>
      <w:rPr>
        <w:rFonts w:ascii="Symbol" w:hAnsi="Symbol" w:hint="default"/>
      </w:rPr>
    </w:lvl>
    <w:lvl w:ilvl="7" w:tplc="04220003" w:tentative="1">
      <w:start w:val="1"/>
      <w:numFmt w:val="bullet"/>
      <w:lvlText w:val="o"/>
      <w:lvlJc w:val="left"/>
      <w:pPr>
        <w:ind w:left="5967" w:hanging="360"/>
      </w:pPr>
      <w:rPr>
        <w:rFonts w:ascii="Courier New" w:hAnsi="Courier New" w:cs="Courier New" w:hint="default"/>
      </w:rPr>
    </w:lvl>
    <w:lvl w:ilvl="8" w:tplc="04220005" w:tentative="1">
      <w:start w:val="1"/>
      <w:numFmt w:val="bullet"/>
      <w:lvlText w:val=""/>
      <w:lvlJc w:val="left"/>
      <w:pPr>
        <w:ind w:left="6687" w:hanging="360"/>
      </w:pPr>
      <w:rPr>
        <w:rFonts w:ascii="Wingdings" w:hAnsi="Wingdings" w:hint="default"/>
      </w:rPr>
    </w:lvl>
  </w:abstractNum>
  <w:abstractNum w:abstractNumId="32" w15:restartNumberingAfterBreak="0">
    <w:nsid w:val="562D4760"/>
    <w:multiLevelType w:val="hybridMultilevel"/>
    <w:tmpl w:val="D1F66010"/>
    <w:lvl w:ilvl="0" w:tplc="04190001">
      <w:start w:val="1"/>
      <w:numFmt w:val="bullet"/>
      <w:lvlText w:val=""/>
      <w:lvlJc w:val="left"/>
      <w:pPr>
        <w:ind w:left="2007" w:hanging="360"/>
      </w:pPr>
      <w:rPr>
        <w:rFonts w:ascii="Symbol" w:hAnsi="Symbol" w:hint="default"/>
      </w:rPr>
    </w:lvl>
    <w:lvl w:ilvl="1" w:tplc="04220003">
      <w:start w:val="1"/>
      <w:numFmt w:val="bullet"/>
      <w:lvlText w:val="o"/>
      <w:lvlJc w:val="left"/>
      <w:pPr>
        <w:ind w:left="2727" w:hanging="360"/>
      </w:pPr>
      <w:rPr>
        <w:rFonts w:ascii="Courier New" w:hAnsi="Courier New" w:cs="Courier New" w:hint="default"/>
      </w:rPr>
    </w:lvl>
    <w:lvl w:ilvl="2" w:tplc="04220005">
      <w:start w:val="1"/>
      <w:numFmt w:val="bullet"/>
      <w:lvlText w:val=""/>
      <w:lvlJc w:val="left"/>
      <w:pPr>
        <w:ind w:left="3447" w:hanging="360"/>
      </w:pPr>
      <w:rPr>
        <w:rFonts w:ascii="Wingdings" w:hAnsi="Wingdings" w:hint="default"/>
      </w:rPr>
    </w:lvl>
    <w:lvl w:ilvl="3" w:tplc="04220001">
      <w:start w:val="1"/>
      <w:numFmt w:val="bullet"/>
      <w:lvlText w:val=""/>
      <w:lvlJc w:val="left"/>
      <w:pPr>
        <w:ind w:left="4167" w:hanging="360"/>
      </w:pPr>
      <w:rPr>
        <w:rFonts w:ascii="Symbol" w:hAnsi="Symbol" w:hint="default"/>
      </w:rPr>
    </w:lvl>
    <w:lvl w:ilvl="4" w:tplc="04220003">
      <w:start w:val="1"/>
      <w:numFmt w:val="bullet"/>
      <w:lvlText w:val="o"/>
      <w:lvlJc w:val="left"/>
      <w:pPr>
        <w:ind w:left="4887" w:hanging="360"/>
      </w:pPr>
      <w:rPr>
        <w:rFonts w:ascii="Courier New" w:hAnsi="Courier New" w:cs="Courier New" w:hint="default"/>
      </w:rPr>
    </w:lvl>
    <w:lvl w:ilvl="5" w:tplc="04220005">
      <w:start w:val="1"/>
      <w:numFmt w:val="bullet"/>
      <w:lvlText w:val=""/>
      <w:lvlJc w:val="left"/>
      <w:pPr>
        <w:ind w:left="5607" w:hanging="360"/>
      </w:pPr>
      <w:rPr>
        <w:rFonts w:ascii="Wingdings" w:hAnsi="Wingdings" w:hint="default"/>
      </w:rPr>
    </w:lvl>
    <w:lvl w:ilvl="6" w:tplc="04220001">
      <w:start w:val="1"/>
      <w:numFmt w:val="bullet"/>
      <w:lvlText w:val=""/>
      <w:lvlJc w:val="left"/>
      <w:pPr>
        <w:ind w:left="6327" w:hanging="360"/>
      </w:pPr>
      <w:rPr>
        <w:rFonts w:ascii="Symbol" w:hAnsi="Symbol" w:hint="default"/>
      </w:rPr>
    </w:lvl>
    <w:lvl w:ilvl="7" w:tplc="04220003">
      <w:start w:val="1"/>
      <w:numFmt w:val="bullet"/>
      <w:lvlText w:val="o"/>
      <w:lvlJc w:val="left"/>
      <w:pPr>
        <w:ind w:left="7047" w:hanging="360"/>
      </w:pPr>
      <w:rPr>
        <w:rFonts w:ascii="Courier New" w:hAnsi="Courier New" w:cs="Courier New" w:hint="default"/>
      </w:rPr>
    </w:lvl>
    <w:lvl w:ilvl="8" w:tplc="04220005">
      <w:start w:val="1"/>
      <w:numFmt w:val="bullet"/>
      <w:lvlText w:val=""/>
      <w:lvlJc w:val="left"/>
      <w:pPr>
        <w:ind w:left="7767" w:hanging="360"/>
      </w:pPr>
      <w:rPr>
        <w:rFonts w:ascii="Wingdings" w:hAnsi="Wingdings" w:hint="default"/>
      </w:rPr>
    </w:lvl>
  </w:abstractNum>
  <w:abstractNum w:abstractNumId="33" w15:restartNumberingAfterBreak="0">
    <w:nsid w:val="57547267"/>
    <w:multiLevelType w:val="hybridMultilevel"/>
    <w:tmpl w:val="514E8ED8"/>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34" w15:restartNumberingAfterBreak="0">
    <w:nsid w:val="5D0C628D"/>
    <w:multiLevelType w:val="hybridMultilevel"/>
    <w:tmpl w:val="10167848"/>
    <w:lvl w:ilvl="0" w:tplc="551694B2">
      <w:start w:val="10"/>
      <w:numFmt w:val="bullet"/>
      <w:lvlText w:val="-"/>
      <w:lvlJc w:val="left"/>
      <w:pPr>
        <w:ind w:left="1287" w:hanging="360"/>
      </w:pPr>
      <w:rPr>
        <w:rFonts w:ascii="Times New Roman" w:eastAsiaTheme="minorHAnsi" w:hAnsi="Times New Roman" w:cs="Times New Roman"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35" w15:restartNumberingAfterBreak="0">
    <w:nsid w:val="5DEC006E"/>
    <w:multiLevelType w:val="hybridMultilevel"/>
    <w:tmpl w:val="360825D6"/>
    <w:lvl w:ilvl="0" w:tplc="0422000D">
      <w:start w:val="1"/>
      <w:numFmt w:val="bullet"/>
      <w:lvlText w:val=""/>
      <w:lvlJc w:val="left"/>
      <w:pPr>
        <w:ind w:left="1287" w:hanging="360"/>
      </w:pPr>
      <w:rPr>
        <w:rFonts w:ascii="Wingdings" w:hAnsi="Wingdings"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36" w15:restartNumberingAfterBreak="0">
    <w:nsid w:val="64ED3768"/>
    <w:multiLevelType w:val="hybridMultilevel"/>
    <w:tmpl w:val="D15EB570"/>
    <w:lvl w:ilvl="0" w:tplc="2752F6A0">
      <w:start w:val="1"/>
      <w:numFmt w:val="decimal"/>
      <w:lvlText w:val="%1)"/>
      <w:lvlJc w:val="left"/>
      <w:pPr>
        <w:tabs>
          <w:tab w:val="num" w:pos="720"/>
        </w:tabs>
        <w:ind w:left="720" w:hanging="360"/>
      </w:pPr>
      <w:rPr>
        <w:rFonts w:ascii="Times New Roman" w:eastAsiaTheme="minorHAnsi" w:hAnsi="Times New Roman" w:cs="Times New Roman"/>
      </w:rPr>
    </w:lvl>
    <w:lvl w:ilvl="1" w:tplc="B060E516" w:tentative="1">
      <w:start w:val="1"/>
      <w:numFmt w:val="bullet"/>
      <w:lvlText w:val=""/>
      <w:lvlJc w:val="left"/>
      <w:pPr>
        <w:tabs>
          <w:tab w:val="num" w:pos="1440"/>
        </w:tabs>
        <w:ind w:left="1440" w:hanging="360"/>
      </w:pPr>
      <w:rPr>
        <w:rFonts w:ascii="Wingdings 2" w:hAnsi="Wingdings 2" w:hint="default"/>
      </w:rPr>
    </w:lvl>
    <w:lvl w:ilvl="2" w:tplc="077434EA" w:tentative="1">
      <w:start w:val="1"/>
      <w:numFmt w:val="bullet"/>
      <w:lvlText w:val=""/>
      <w:lvlJc w:val="left"/>
      <w:pPr>
        <w:tabs>
          <w:tab w:val="num" w:pos="2160"/>
        </w:tabs>
        <w:ind w:left="2160" w:hanging="360"/>
      </w:pPr>
      <w:rPr>
        <w:rFonts w:ascii="Wingdings 2" w:hAnsi="Wingdings 2" w:hint="default"/>
      </w:rPr>
    </w:lvl>
    <w:lvl w:ilvl="3" w:tplc="54C0DDCC" w:tentative="1">
      <w:start w:val="1"/>
      <w:numFmt w:val="bullet"/>
      <w:lvlText w:val=""/>
      <w:lvlJc w:val="left"/>
      <w:pPr>
        <w:tabs>
          <w:tab w:val="num" w:pos="2880"/>
        </w:tabs>
        <w:ind w:left="2880" w:hanging="360"/>
      </w:pPr>
      <w:rPr>
        <w:rFonts w:ascii="Wingdings 2" w:hAnsi="Wingdings 2" w:hint="default"/>
      </w:rPr>
    </w:lvl>
    <w:lvl w:ilvl="4" w:tplc="766EC8FE" w:tentative="1">
      <w:start w:val="1"/>
      <w:numFmt w:val="bullet"/>
      <w:lvlText w:val=""/>
      <w:lvlJc w:val="left"/>
      <w:pPr>
        <w:tabs>
          <w:tab w:val="num" w:pos="3600"/>
        </w:tabs>
        <w:ind w:left="3600" w:hanging="360"/>
      </w:pPr>
      <w:rPr>
        <w:rFonts w:ascii="Wingdings 2" w:hAnsi="Wingdings 2" w:hint="default"/>
      </w:rPr>
    </w:lvl>
    <w:lvl w:ilvl="5" w:tplc="5E8471B6" w:tentative="1">
      <w:start w:val="1"/>
      <w:numFmt w:val="bullet"/>
      <w:lvlText w:val=""/>
      <w:lvlJc w:val="left"/>
      <w:pPr>
        <w:tabs>
          <w:tab w:val="num" w:pos="4320"/>
        </w:tabs>
        <w:ind w:left="4320" w:hanging="360"/>
      </w:pPr>
      <w:rPr>
        <w:rFonts w:ascii="Wingdings 2" w:hAnsi="Wingdings 2" w:hint="default"/>
      </w:rPr>
    </w:lvl>
    <w:lvl w:ilvl="6" w:tplc="C6E82830" w:tentative="1">
      <w:start w:val="1"/>
      <w:numFmt w:val="bullet"/>
      <w:lvlText w:val=""/>
      <w:lvlJc w:val="left"/>
      <w:pPr>
        <w:tabs>
          <w:tab w:val="num" w:pos="5040"/>
        </w:tabs>
        <w:ind w:left="5040" w:hanging="360"/>
      </w:pPr>
      <w:rPr>
        <w:rFonts w:ascii="Wingdings 2" w:hAnsi="Wingdings 2" w:hint="default"/>
      </w:rPr>
    </w:lvl>
    <w:lvl w:ilvl="7" w:tplc="09E4D15E" w:tentative="1">
      <w:start w:val="1"/>
      <w:numFmt w:val="bullet"/>
      <w:lvlText w:val=""/>
      <w:lvlJc w:val="left"/>
      <w:pPr>
        <w:tabs>
          <w:tab w:val="num" w:pos="5760"/>
        </w:tabs>
        <w:ind w:left="5760" w:hanging="360"/>
      </w:pPr>
      <w:rPr>
        <w:rFonts w:ascii="Wingdings 2" w:hAnsi="Wingdings 2" w:hint="default"/>
      </w:rPr>
    </w:lvl>
    <w:lvl w:ilvl="8" w:tplc="977C1614" w:tentative="1">
      <w:start w:val="1"/>
      <w:numFmt w:val="bullet"/>
      <w:lvlText w:val=""/>
      <w:lvlJc w:val="left"/>
      <w:pPr>
        <w:tabs>
          <w:tab w:val="num" w:pos="6480"/>
        </w:tabs>
        <w:ind w:left="6480" w:hanging="360"/>
      </w:pPr>
      <w:rPr>
        <w:rFonts w:ascii="Wingdings 2" w:hAnsi="Wingdings 2" w:hint="default"/>
      </w:rPr>
    </w:lvl>
  </w:abstractNum>
  <w:abstractNum w:abstractNumId="37" w15:restartNumberingAfterBreak="0">
    <w:nsid w:val="66C2790D"/>
    <w:multiLevelType w:val="hybridMultilevel"/>
    <w:tmpl w:val="555C0F04"/>
    <w:lvl w:ilvl="0" w:tplc="2FE613E6">
      <w:start w:val="1"/>
      <w:numFmt w:val="bullet"/>
      <w:lvlText w:val=""/>
      <w:lvlJc w:val="left"/>
      <w:pPr>
        <w:ind w:left="1429" w:hanging="360"/>
      </w:pPr>
      <w:rPr>
        <w:rFonts w:ascii="Symbol" w:hAnsi="Symbol"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38" w15:restartNumberingAfterBreak="0">
    <w:nsid w:val="70194EB9"/>
    <w:multiLevelType w:val="hybridMultilevel"/>
    <w:tmpl w:val="9DF8B2C2"/>
    <w:lvl w:ilvl="0" w:tplc="551694B2">
      <w:start w:val="10"/>
      <w:numFmt w:val="bullet"/>
      <w:lvlText w:val="-"/>
      <w:lvlJc w:val="left"/>
      <w:pPr>
        <w:ind w:left="720" w:hanging="360"/>
      </w:pPr>
      <w:rPr>
        <w:rFonts w:ascii="Times New Roman" w:eastAsiaTheme="minorHAnsi"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9" w15:restartNumberingAfterBreak="0">
    <w:nsid w:val="74C875FC"/>
    <w:multiLevelType w:val="hybridMultilevel"/>
    <w:tmpl w:val="09321408"/>
    <w:lvl w:ilvl="0" w:tplc="04220001">
      <w:start w:val="1"/>
      <w:numFmt w:val="bullet"/>
      <w:lvlText w:val=""/>
      <w:lvlJc w:val="left"/>
      <w:pPr>
        <w:ind w:left="1069" w:hanging="360"/>
      </w:pPr>
      <w:rPr>
        <w:rFonts w:ascii="Symbol" w:hAnsi="Symbol" w:hint="default"/>
      </w:rPr>
    </w:lvl>
    <w:lvl w:ilvl="1" w:tplc="04220003" w:tentative="1">
      <w:start w:val="1"/>
      <w:numFmt w:val="bullet"/>
      <w:lvlText w:val="o"/>
      <w:lvlJc w:val="left"/>
      <w:pPr>
        <w:ind w:left="1789" w:hanging="360"/>
      </w:pPr>
      <w:rPr>
        <w:rFonts w:ascii="Courier New" w:hAnsi="Courier New" w:cs="Courier New" w:hint="default"/>
      </w:rPr>
    </w:lvl>
    <w:lvl w:ilvl="2" w:tplc="04220005" w:tentative="1">
      <w:start w:val="1"/>
      <w:numFmt w:val="bullet"/>
      <w:lvlText w:val=""/>
      <w:lvlJc w:val="left"/>
      <w:pPr>
        <w:ind w:left="2509" w:hanging="360"/>
      </w:pPr>
      <w:rPr>
        <w:rFonts w:ascii="Wingdings" w:hAnsi="Wingdings" w:hint="default"/>
      </w:rPr>
    </w:lvl>
    <w:lvl w:ilvl="3" w:tplc="04220001" w:tentative="1">
      <w:start w:val="1"/>
      <w:numFmt w:val="bullet"/>
      <w:lvlText w:val=""/>
      <w:lvlJc w:val="left"/>
      <w:pPr>
        <w:ind w:left="3229" w:hanging="360"/>
      </w:pPr>
      <w:rPr>
        <w:rFonts w:ascii="Symbol" w:hAnsi="Symbol" w:hint="default"/>
      </w:rPr>
    </w:lvl>
    <w:lvl w:ilvl="4" w:tplc="04220003" w:tentative="1">
      <w:start w:val="1"/>
      <w:numFmt w:val="bullet"/>
      <w:lvlText w:val="o"/>
      <w:lvlJc w:val="left"/>
      <w:pPr>
        <w:ind w:left="3949" w:hanging="360"/>
      </w:pPr>
      <w:rPr>
        <w:rFonts w:ascii="Courier New" w:hAnsi="Courier New" w:cs="Courier New" w:hint="default"/>
      </w:rPr>
    </w:lvl>
    <w:lvl w:ilvl="5" w:tplc="04220005" w:tentative="1">
      <w:start w:val="1"/>
      <w:numFmt w:val="bullet"/>
      <w:lvlText w:val=""/>
      <w:lvlJc w:val="left"/>
      <w:pPr>
        <w:ind w:left="4669" w:hanging="360"/>
      </w:pPr>
      <w:rPr>
        <w:rFonts w:ascii="Wingdings" w:hAnsi="Wingdings" w:hint="default"/>
      </w:rPr>
    </w:lvl>
    <w:lvl w:ilvl="6" w:tplc="04220001" w:tentative="1">
      <w:start w:val="1"/>
      <w:numFmt w:val="bullet"/>
      <w:lvlText w:val=""/>
      <w:lvlJc w:val="left"/>
      <w:pPr>
        <w:ind w:left="5389" w:hanging="360"/>
      </w:pPr>
      <w:rPr>
        <w:rFonts w:ascii="Symbol" w:hAnsi="Symbol" w:hint="default"/>
      </w:rPr>
    </w:lvl>
    <w:lvl w:ilvl="7" w:tplc="04220003" w:tentative="1">
      <w:start w:val="1"/>
      <w:numFmt w:val="bullet"/>
      <w:lvlText w:val="o"/>
      <w:lvlJc w:val="left"/>
      <w:pPr>
        <w:ind w:left="6109" w:hanging="360"/>
      </w:pPr>
      <w:rPr>
        <w:rFonts w:ascii="Courier New" w:hAnsi="Courier New" w:cs="Courier New" w:hint="default"/>
      </w:rPr>
    </w:lvl>
    <w:lvl w:ilvl="8" w:tplc="04220005" w:tentative="1">
      <w:start w:val="1"/>
      <w:numFmt w:val="bullet"/>
      <w:lvlText w:val=""/>
      <w:lvlJc w:val="left"/>
      <w:pPr>
        <w:ind w:left="6829" w:hanging="360"/>
      </w:pPr>
      <w:rPr>
        <w:rFonts w:ascii="Wingdings" w:hAnsi="Wingdings" w:hint="default"/>
      </w:rPr>
    </w:lvl>
  </w:abstractNum>
  <w:abstractNum w:abstractNumId="40" w15:restartNumberingAfterBreak="0">
    <w:nsid w:val="7709558A"/>
    <w:multiLevelType w:val="multilevel"/>
    <w:tmpl w:val="9B2C906A"/>
    <w:lvl w:ilvl="0">
      <w:start w:val="1"/>
      <w:numFmt w:val="decimal"/>
      <w:lvlText w:val="%1."/>
      <w:legacy w:legacy="1" w:legacySpace="120" w:legacyIndent="360"/>
      <w:lvlJc w:val="left"/>
      <w:pPr>
        <w:ind w:left="360" w:hanging="360"/>
      </w:pPr>
      <w:rPr>
        <w:rFonts w:cs="Times New Roman"/>
      </w:rPr>
    </w:lvl>
    <w:lvl w:ilvl="1">
      <w:start w:val="1"/>
      <w:numFmt w:val="lowerLetter"/>
      <w:lvlText w:val="%2."/>
      <w:legacy w:legacy="1" w:legacySpace="120" w:legacyIndent="360"/>
      <w:lvlJc w:val="left"/>
      <w:pPr>
        <w:ind w:left="720" w:hanging="360"/>
      </w:pPr>
      <w:rPr>
        <w:rFonts w:cs="Times New Roman"/>
      </w:rPr>
    </w:lvl>
    <w:lvl w:ilvl="2">
      <w:start w:val="1"/>
      <w:numFmt w:val="lowerRoman"/>
      <w:lvlText w:val="%3."/>
      <w:legacy w:legacy="1" w:legacySpace="120" w:legacyIndent="180"/>
      <w:lvlJc w:val="left"/>
      <w:pPr>
        <w:ind w:left="900" w:hanging="180"/>
      </w:pPr>
      <w:rPr>
        <w:rFonts w:cs="Times New Roman"/>
      </w:rPr>
    </w:lvl>
    <w:lvl w:ilvl="3">
      <w:start w:val="1"/>
      <w:numFmt w:val="decimal"/>
      <w:lvlText w:val="%4."/>
      <w:legacy w:legacy="1" w:legacySpace="120" w:legacyIndent="360"/>
      <w:lvlJc w:val="left"/>
      <w:pPr>
        <w:ind w:left="1260" w:hanging="360"/>
      </w:pPr>
      <w:rPr>
        <w:rFonts w:cs="Times New Roman"/>
      </w:rPr>
    </w:lvl>
    <w:lvl w:ilvl="4">
      <w:start w:val="1"/>
      <w:numFmt w:val="lowerLetter"/>
      <w:lvlText w:val="%5."/>
      <w:legacy w:legacy="1" w:legacySpace="120" w:legacyIndent="360"/>
      <w:lvlJc w:val="left"/>
      <w:pPr>
        <w:ind w:left="1620" w:hanging="360"/>
      </w:pPr>
      <w:rPr>
        <w:rFonts w:cs="Times New Roman"/>
      </w:rPr>
    </w:lvl>
    <w:lvl w:ilvl="5">
      <w:start w:val="1"/>
      <w:numFmt w:val="lowerRoman"/>
      <w:lvlText w:val="%6."/>
      <w:legacy w:legacy="1" w:legacySpace="120" w:legacyIndent="180"/>
      <w:lvlJc w:val="left"/>
      <w:pPr>
        <w:ind w:left="1800" w:hanging="180"/>
      </w:pPr>
      <w:rPr>
        <w:rFonts w:cs="Times New Roman"/>
      </w:rPr>
    </w:lvl>
    <w:lvl w:ilvl="6">
      <w:start w:val="1"/>
      <w:numFmt w:val="decimal"/>
      <w:lvlText w:val="%7."/>
      <w:legacy w:legacy="1" w:legacySpace="120" w:legacyIndent="360"/>
      <w:lvlJc w:val="left"/>
      <w:pPr>
        <w:ind w:left="2160" w:hanging="360"/>
      </w:pPr>
      <w:rPr>
        <w:rFonts w:cs="Times New Roman"/>
      </w:rPr>
    </w:lvl>
    <w:lvl w:ilvl="7">
      <w:start w:val="1"/>
      <w:numFmt w:val="lowerLetter"/>
      <w:lvlText w:val="%8."/>
      <w:legacy w:legacy="1" w:legacySpace="120" w:legacyIndent="360"/>
      <w:lvlJc w:val="left"/>
      <w:pPr>
        <w:ind w:left="2520" w:hanging="360"/>
      </w:pPr>
      <w:rPr>
        <w:rFonts w:cs="Times New Roman"/>
      </w:rPr>
    </w:lvl>
    <w:lvl w:ilvl="8">
      <w:start w:val="1"/>
      <w:numFmt w:val="lowerRoman"/>
      <w:lvlText w:val="%9."/>
      <w:legacy w:legacy="1" w:legacySpace="120" w:legacyIndent="180"/>
      <w:lvlJc w:val="left"/>
      <w:pPr>
        <w:ind w:left="2700" w:hanging="180"/>
      </w:pPr>
      <w:rPr>
        <w:rFonts w:cs="Times New Roman"/>
      </w:rPr>
    </w:lvl>
  </w:abstractNum>
  <w:abstractNum w:abstractNumId="41" w15:restartNumberingAfterBreak="0">
    <w:nsid w:val="78D004AA"/>
    <w:multiLevelType w:val="hybridMultilevel"/>
    <w:tmpl w:val="21BEE088"/>
    <w:lvl w:ilvl="0" w:tplc="BAEC93B6">
      <w:start w:val="1"/>
      <w:numFmt w:val="decimal"/>
      <w:lvlText w:val="%1."/>
      <w:lvlJc w:val="left"/>
      <w:pPr>
        <w:ind w:left="927" w:hanging="360"/>
      </w:pPr>
      <w:rPr>
        <w:rFonts w:eastAsia="Times New Roman" w:hint="default"/>
      </w:rPr>
    </w:lvl>
    <w:lvl w:ilvl="1" w:tplc="04220019" w:tentative="1">
      <w:start w:val="1"/>
      <w:numFmt w:val="lowerLetter"/>
      <w:lvlText w:val="%2."/>
      <w:lvlJc w:val="left"/>
      <w:pPr>
        <w:ind w:left="1647" w:hanging="360"/>
      </w:pPr>
    </w:lvl>
    <w:lvl w:ilvl="2" w:tplc="0422001B" w:tentative="1">
      <w:start w:val="1"/>
      <w:numFmt w:val="lowerRoman"/>
      <w:lvlText w:val="%3."/>
      <w:lvlJc w:val="right"/>
      <w:pPr>
        <w:ind w:left="2367" w:hanging="180"/>
      </w:pPr>
    </w:lvl>
    <w:lvl w:ilvl="3" w:tplc="0422000F" w:tentative="1">
      <w:start w:val="1"/>
      <w:numFmt w:val="decimal"/>
      <w:lvlText w:val="%4."/>
      <w:lvlJc w:val="left"/>
      <w:pPr>
        <w:ind w:left="3087" w:hanging="360"/>
      </w:pPr>
    </w:lvl>
    <w:lvl w:ilvl="4" w:tplc="04220019" w:tentative="1">
      <w:start w:val="1"/>
      <w:numFmt w:val="lowerLetter"/>
      <w:lvlText w:val="%5."/>
      <w:lvlJc w:val="left"/>
      <w:pPr>
        <w:ind w:left="3807" w:hanging="360"/>
      </w:pPr>
    </w:lvl>
    <w:lvl w:ilvl="5" w:tplc="0422001B" w:tentative="1">
      <w:start w:val="1"/>
      <w:numFmt w:val="lowerRoman"/>
      <w:lvlText w:val="%6."/>
      <w:lvlJc w:val="right"/>
      <w:pPr>
        <w:ind w:left="4527" w:hanging="180"/>
      </w:pPr>
    </w:lvl>
    <w:lvl w:ilvl="6" w:tplc="0422000F" w:tentative="1">
      <w:start w:val="1"/>
      <w:numFmt w:val="decimal"/>
      <w:lvlText w:val="%7."/>
      <w:lvlJc w:val="left"/>
      <w:pPr>
        <w:ind w:left="5247" w:hanging="360"/>
      </w:pPr>
    </w:lvl>
    <w:lvl w:ilvl="7" w:tplc="04220019" w:tentative="1">
      <w:start w:val="1"/>
      <w:numFmt w:val="lowerLetter"/>
      <w:lvlText w:val="%8."/>
      <w:lvlJc w:val="left"/>
      <w:pPr>
        <w:ind w:left="5967" w:hanging="360"/>
      </w:pPr>
    </w:lvl>
    <w:lvl w:ilvl="8" w:tplc="0422001B" w:tentative="1">
      <w:start w:val="1"/>
      <w:numFmt w:val="lowerRoman"/>
      <w:lvlText w:val="%9."/>
      <w:lvlJc w:val="right"/>
      <w:pPr>
        <w:ind w:left="6687" w:hanging="180"/>
      </w:pPr>
    </w:lvl>
  </w:abstractNum>
  <w:abstractNum w:abstractNumId="42" w15:restartNumberingAfterBreak="0">
    <w:nsid w:val="7C6E4ECF"/>
    <w:multiLevelType w:val="hybridMultilevel"/>
    <w:tmpl w:val="9A68182A"/>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43" w15:restartNumberingAfterBreak="0">
    <w:nsid w:val="7F9130F5"/>
    <w:multiLevelType w:val="hybridMultilevel"/>
    <w:tmpl w:val="C2302F54"/>
    <w:lvl w:ilvl="0" w:tplc="AFBA01EE">
      <w:start w:val="1"/>
      <w:numFmt w:val="bullet"/>
      <w:lvlText w:val="-"/>
      <w:lvlJc w:val="left"/>
      <w:pPr>
        <w:ind w:left="19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num w:numId="1">
    <w:abstractNumId w:val="28"/>
  </w:num>
  <w:num w:numId="2">
    <w:abstractNumId w:val="1"/>
  </w:num>
  <w:num w:numId="3">
    <w:abstractNumId w:val="19"/>
  </w:num>
  <w:num w:numId="4">
    <w:abstractNumId w:val="24"/>
  </w:num>
  <w:num w:numId="5">
    <w:abstractNumId w:val="17"/>
  </w:num>
  <w:num w:numId="6">
    <w:abstractNumId w:val="11"/>
  </w:num>
  <w:num w:numId="7">
    <w:abstractNumId w:val="39"/>
  </w:num>
  <w:num w:numId="8">
    <w:abstractNumId w:val="30"/>
  </w:num>
  <w:num w:numId="9">
    <w:abstractNumId w:val="37"/>
  </w:num>
  <w:num w:numId="10">
    <w:abstractNumId w:val="8"/>
  </w:num>
  <w:num w:numId="11">
    <w:abstractNumId w:val="0"/>
  </w:num>
  <w:num w:numId="12">
    <w:abstractNumId w:val="38"/>
  </w:num>
  <w:num w:numId="13">
    <w:abstractNumId w:val="36"/>
  </w:num>
  <w:num w:numId="14">
    <w:abstractNumId w:val="42"/>
  </w:num>
  <w:num w:numId="15">
    <w:abstractNumId w:val="13"/>
  </w:num>
  <w:num w:numId="16">
    <w:abstractNumId w:val="2"/>
  </w:num>
  <w:num w:numId="17">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5"/>
  </w:num>
  <w:num w:numId="19">
    <w:abstractNumId w:val="6"/>
  </w:num>
  <w:num w:numId="20">
    <w:abstractNumId w:val="16"/>
  </w:num>
  <w:num w:numId="21">
    <w:abstractNumId w:val="5"/>
  </w:num>
  <w:num w:numId="22">
    <w:abstractNumId w:val="14"/>
  </w:num>
  <w:num w:numId="23">
    <w:abstractNumId w:val="43"/>
  </w:num>
  <w:num w:numId="24">
    <w:abstractNumId w:val="29"/>
  </w:num>
  <w:num w:numId="25">
    <w:abstractNumId w:val="7"/>
  </w:num>
  <w:num w:numId="26">
    <w:abstractNumId w:val="23"/>
  </w:num>
  <w:num w:numId="27">
    <w:abstractNumId w:val="32"/>
  </w:num>
  <w:num w:numId="28">
    <w:abstractNumId w:val="27"/>
  </w:num>
  <w:num w:numId="29">
    <w:abstractNumId w:val="21"/>
  </w:num>
  <w:num w:numId="30">
    <w:abstractNumId w:val="41"/>
  </w:num>
  <w:num w:numId="31">
    <w:abstractNumId w:val="22"/>
  </w:num>
  <w:num w:numId="32">
    <w:abstractNumId w:val="31"/>
  </w:num>
  <w:num w:numId="33">
    <w:abstractNumId w:val="33"/>
  </w:num>
  <w:num w:numId="34">
    <w:abstractNumId w:val="9"/>
  </w:num>
  <w:num w:numId="35">
    <w:abstractNumId w:val="10"/>
  </w:num>
  <w:num w:numId="36">
    <w:abstractNumId w:val="12"/>
  </w:num>
  <w:num w:numId="37">
    <w:abstractNumId w:val="3"/>
  </w:num>
  <w:num w:numId="38">
    <w:abstractNumId w:val="18"/>
  </w:num>
  <w:num w:numId="39">
    <w:abstractNumId w:val="20"/>
  </w:num>
  <w:num w:numId="40">
    <w:abstractNumId w:val="4"/>
  </w:num>
  <w:num w:numId="41">
    <w:abstractNumId w:val="26"/>
  </w:num>
  <w:num w:numId="42">
    <w:abstractNumId w:val="25"/>
  </w:num>
  <w:num w:numId="43">
    <w:abstractNumId w:val="35"/>
  </w:num>
  <w:num w:numId="44">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proofState w:spelling="clean" w:grammar="clean"/>
  <w:defaultTabStop w:val="708"/>
  <w:hyphenationZone w:val="425"/>
  <w:characterSpacingControl w:val="doNotCompress"/>
  <w:savePreviewPicture/>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A3068"/>
    <w:rsid w:val="0000064A"/>
    <w:rsid w:val="0000234B"/>
    <w:rsid w:val="00002C1C"/>
    <w:rsid w:val="0000542F"/>
    <w:rsid w:val="00005B22"/>
    <w:rsid w:val="00006D03"/>
    <w:rsid w:val="00006F9F"/>
    <w:rsid w:val="00010526"/>
    <w:rsid w:val="0001151B"/>
    <w:rsid w:val="00012539"/>
    <w:rsid w:val="00012826"/>
    <w:rsid w:val="0001423B"/>
    <w:rsid w:val="00014A56"/>
    <w:rsid w:val="00016546"/>
    <w:rsid w:val="00017565"/>
    <w:rsid w:val="000178AD"/>
    <w:rsid w:val="00020256"/>
    <w:rsid w:val="00021490"/>
    <w:rsid w:val="000222E6"/>
    <w:rsid w:val="00022D82"/>
    <w:rsid w:val="00023548"/>
    <w:rsid w:val="00024DDF"/>
    <w:rsid w:val="0002592A"/>
    <w:rsid w:val="00025C53"/>
    <w:rsid w:val="00027B5B"/>
    <w:rsid w:val="00030BA4"/>
    <w:rsid w:val="00030BAB"/>
    <w:rsid w:val="00030FF1"/>
    <w:rsid w:val="00033ADB"/>
    <w:rsid w:val="00033C39"/>
    <w:rsid w:val="00034346"/>
    <w:rsid w:val="000346C6"/>
    <w:rsid w:val="000349BB"/>
    <w:rsid w:val="00034EC2"/>
    <w:rsid w:val="00035358"/>
    <w:rsid w:val="000353A6"/>
    <w:rsid w:val="000360D4"/>
    <w:rsid w:val="00037FD7"/>
    <w:rsid w:val="0004007F"/>
    <w:rsid w:val="0004053E"/>
    <w:rsid w:val="00041119"/>
    <w:rsid w:val="0004138A"/>
    <w:rsid w:val="0004172F"/>
    <w:rsid w:val="00042D92"/>
    <w:rsid w:val="00042E19"/>
    <w:rsid w:val="00043A73"/>
    <w:rsid w:val="00043B31"/>
    <w:rsid w:val="0004451A"/>
    <w:rsid w:val="00044B3D"/>
    <w:rsid w:val="00044BCA"/>
    <w:rsid w:val="00044D88"/>
    <w:rsid w:val="00045788"/>
    <w:rsid w:val="0004676D"/>
    <w:rsid w:val="00047226"/>
    <w:rsid w:val="00050493"/>
    <w:rsid w:val="00050A02"/>
    <w:rsid w:val="00050E47"/>
    <w:rsid w:val="00052E09"/>
    <w:rsid w:val="00054F42"/>
    <w:rsid w:val="000554DF"/>
    <w:rsid w:val="00055A4B"/>
    <w:rsid w:val="000562C7"/>
    <w:rsid w:val="0005635E"/>
    <w:rsid w:val="00056CAD"/>
    <w:rsid w:val="0005730F"/>
    <w:rsid w:val="0005758F"/>
    <w:rsid w:val="000610A9"/>
    <w:rsid w:val="000610D9"/>
    <w:rsid w:val="0006243A"/>
    <w:rsid w:val="00062802"/>
    <w:rsid w:val="000654DC"/>
    <w:rsid w:val="00066615"/>
    <w:rsid w:val="0006747F"/>
    <w:rsid w:val="00070266"/>
    <w:rsid w:val="0007049A"/>
    <w:rsid w:val="00070563"/>
    <w:rsid w:val="00070728"/>
    <w:rsid w:val="00070956"/>
    <w:rsid w:val="00070BA2"/>
    <w:rsid w:val="00072ACF"/>
    <w:rsid w:val="000736DF"/>
    <w:rsid w:val="00076009"/>
    <w:rsid w:val="00080FDD"/>
    <w:rsid w:val="0008110A"/>
    <w:rsid w:val="00081E5D"/>
    <w:rsid w:val="00082D5F"/>
    <w:rsid w:val="00083BFC"/>
    <w:rsid w:val="00083E27"/>
    <w:rsid w:val="00083E37"/>
    <w:rsid w:val="0008497D"/>
    <w:rsid w:val="00086D1C"/>
    <w:rsid w:val="00087140"/>
    <w:rsid w:val="00087D0C"/>
    <w:rsid w:val="00090162"/>
    <w:rsid w:val="000904DD"/>
    <w:rsid w:val="00092937"/>
    <w:rsid w:val="00093DBC"/>
    <w:rsid w:val="00095302"/>
    <w:rsid w:val="0009610B"/>
    <w:rsid w:val="000967C3"/>
    <w:rsid w:val="00096CBC"/>
    <w:rsid w:val="00096D39"/>
    <w:rsid w:val="00097759"/>
    <w:rsid w:val="000978F8"/>
    <w:rsid w:val="00097E05"/>
    <w:rsid w:val="000A1006"/>
    <w:rsid w:val="000A1A87"/>
    <w:rsid w:val="000A2DCA"/>
    <w:rsid w:val="000A3CA9"/>
    <w:rsid w:val="000A42B9"/>
    <w:rsid w:val="000A4385"/>
    <w:rsid w:val="000A4B7F"/>
    <w:rsid w:val="000A536F"/>
    <w:rsid w:val="000A64A8"/>
    <w:rsid w:val="000A7A43"/>
    <w:rsid w:val="000A7BBC"/>
    <w:rsid w:val="000A7C29"/>
    <w:rsid w:val="000B08B9"/>
    <w:rsid w:val="000B0D73"/>
    <w:rsid w:val="000B147C"/>
    <w:rsid w:val="000B1952"/>
    <w:rsid w:val="000B3F4E"/>
    <w:rsid w:val="000B44C3"/>
    <w:rsid w:val="000B4FA4"/>
    <w:rsid w:val="000B6BC1"/>
    <w:rsid w:val="000B753C"/>
    <w:rsid w:val="000C067F"/>
    <w:rsid w:val="000C152C"/>
    <w:rsid w:val="000C1F45"/>
    <w:rsid w:val="000C1F48"/>
    <w:rsid w:val="000C272E"/>
    <w:rsid w:val="000C54B7"/>
    <w:rsid w:val="000C69CB"/>
    <w:rsid w:val="000C6DF3"/>
    <w:rsid w:val="000C79F3"/>
    <w:rsid w:val="000D0B8A"/>
    <w:rsid w:val="000D20D8"/>
    <w:rsid w:val="000D20DF"/>
    <w:rsid w:val="000D2DE2"/>
    <w:rsid w:val="000D347E"/>
    <w:rsid w:val="000D68D8"/>
    <w:rsid w:val="000D71BA"/>
    <w:rsid w:val="000E04E8"/>
    <w:rsid w:val="000E0913"/>
    <w:rsid w:val="000E111E"/>
    <w:rsid w:val="000E369C"/>
    <w:rsid w:val="000E4CC2"/>
    <w:rsid w:val="000E5177"/>
    <w:rsid w:val="000E6E3B"/>
    <w:rsid w:val="000F0CFF"/>
    <w:rsid w:val="000F196F"/>
    <w:rsid w:val="000F21BE"/>
    <w:rsid w:val="000F2A15"/>
    <w:rsid w:val="000F412C"/>
    <w:rsid w:val="000F43D8"/>
    <w:rsid w:val="000F449D"/>
    <w:rsid w:val="000F46FC"/>
    <w:rsid w:val="000F4704"/>
    <w:rsid w:val="000F77DA"/>
    <w:rsid w:val="0010154A"/>
    <w:rsid w:val="001022D5"/>
    <w:rsid w:val="001034EC"/>
    <w:rsid w:val="00104FB3"/>
    <w:rsid w:val="00106C16"/>
    <w:rsid w:val="00106F46"/>
    <w:rsid w:val="00107581"/>
    <w:rsid w:val="0011016C"/>
    <w:rsid w:val="001101EF"/>
    <w:rsid w:val="001118F8"/>
    <w:rsid w:val="00111AA2"/>
    <w:rsid w:val="0011290C"/>
    <w:rsid w:val="00112A9E"/>
    <w:rsid w:val="00113017"/>
    <w:rsid w:val="0011335D"/>
    <w:rsid w:val="001133BB"/>
    <w:rsid w:val="00113677"/>
    <w:rsid w:val="0011537A"/>
    <w:rsid w:val="00117BA1"/>
    <w:rsid w:val="001207EB"/>
    <w:rsid w:val="00120F6A"/>
    <w:rsid w:val="00121C7F"/>
    <w:rsid w:val="00124025"/>
    <w:rsid w:val="0012525D"/>
    <w:rsid w:val="00125744"/>
    <w:rsid w:val="00127E21"/>
    <w:rsid w:val="00130694"/>
    <w:rsid w:val="00130A22"/>
    <w:rsid w:val="00131A37"/>
    <w:rsid w:val="0013324A"/>
    <w:rsid w:val="00133FF7"/>
    <w:rsid w:val="001348AC"/>
    <w:rsid w:val="001349C1"/>
    <w:rsid w:val="001349D3"/>
    <w:rsid w:val="00134BA5"/>
    <w:rsid w:val="001351C7"/>
    <w:rsid w:val="00135958"/>
    <w:rsid w:val="00135983"/>
    <w:rsid w:val="00136580"/>
    <w:rsid w:val="001406BB"/>
    <w:rsid w:val="001416E0"/>
    <w:rsid w:val="00143267"/>
    <w:rsid w:val="00143704"/>
    <w:rsid w:val="00143CC3"/>
    <w:rsid w:val="00146D8C"/>
    <w:rsid w:val="00146FD6"/>
    <w:rsid w:val="001473F3"/>
    <w:rsid w:val="00147F11"/>
    <w:rsid w:val="001501C0"/>
    <w:rsid w:val="001501E6"/>
    <w:rsid w:val="0015057D"/>
    <w:rsid w:val="00151E48"/>
    <w:rsid w:val="00152B31"/>
    <w:rsid w:val="00152DF1"/>
    <w:rsid w:val="00152E6B"/>
    <w:rsid w:val="00153448"/>
    <w:rsid w:val="00153D96"/>
    <w:rsid w:val="0015414C"/>
    <w:rsid w:val="001559E6"/>
    <w:rsid w:val="001565A7"/>
    <w:rsid w:val="00160621"/>
    <w:rsid w:val="00161396"/>
    <w:rsid w:val="001614BF"/>
    <w:rsid w:val="001615B3"/>
    <w:rsid w:val="00161F67"/>
    <w:rsid w:val="00164009"/>
    <w:rsid w:val="001653FB"/>
    <w:rsid w:val="00165477"/>
    <w:rsid w:val="00166927"/>
    <w:rsid w:val="00166C2E"/>
    <w:rsid w:val="00167028"/>
    <w:rsid w:val="00167559"/>
    <w:rsid w:val="0016780B"/>
    <w:rsid w:val="001703AE"/>
    <w:rsid w:val="00171037"/>
    <w:rsid w:val="00173C23"/>
    <w:rsid w:val="00173CEA"/>
    <w:rsid w:val="001755E0"/>
    <w:rsid w:val="00175892"/>
    <w:rsid w:val="00175C3A"/>
    <w:rsid w:val="00176E09"/>
    <w:rsid w:val="0017703B"/>
    <w:rsid w:val="00177D89"/>
    <w:rsid w:val="00177D90"/>
    <w:rsid w:val="00180726"/>
    <w:rsid w:val="0018160C"/>
    <w:rsid w:val="00181D97"/>
    <w:rsid w:val="0018206D"/>
    <w:rsid w:val="00182C11"/>
    <w:rsid w:val="00182ED9"/>
    <w:rsid w:val="00183763"/>
    <w:rsid w:val="00183856"/>
    <w:rsid w:val="00184BF6"/>
    <w:rsid w:val="00185626"/>
    <w:rsid w:val="00185789"/>
    <w:rsid w:val="00186956"/>
    <w:rsid w:val="00186AB1"/>
    <w:rsid w:val="00186DBA"/>
    <w:rsid w:val="0018706D"/>
    <w:rsid w:val="00187D15"/>
    <w:rsid w:val="00191023"/>
    <w:rsid w:val="00192748"/>
    <w:rsid w:val="0019289B"/>
    <w:rsid w:val="00192E76"/>
    <w:rsid w:val="00193293"/>
    <w:rsid w:val="00193B5D"/>
    <w:rsid w:val="00194406"/>
    <w:rsid w:val="00195948"/>
    <w:rsid w:val="001970CF"/>
    <w:rsid w:val="001975F7"/>
    <w:rsid w:val="001A11DA"/>
    <w:rsid w:val="001A1591"/>
    <w:rsid w:val="001A16A1"/>
    <w:rsid w:val="001A2AE7"/>
    <w:rsid w:val="001A4180"/>
    <w:rsid w:val="001A42BE"/>
    <w:rsid w:val="001A5BA1"/>
    <w:rsid w:val="001A6A90"/>
    <w:rsid w:val="001B1B92"/>
    <w:rsid w:val="001B2031"/>
    <w:rsid w:val="001B2B2C"/>
    <w:rsid w:val="001B45CA"/>
    <w:rsid w:val="001B53B4"/>
    <w:rsid w:val="001B6FDA"/>
    <w:rsid w:val="001B73C7"/>
    <w:rsid w:val="001C137D"/>
    <w:rsid w:val="001C20CE"/>
    <w:rsid w:val="001C2AFA"/>
    <w:rsid w:val="001C55FD"/>
    <w:rsid w:val="001C6AD6"/>
    <w:rsid w:val="001C6CEE"/>
    <w:rsid w:val="001C70ED"/>
    <w:rsid w:val="001C737B"/>
    <w:rsid w:val="001C7663"/>
    <w:rsid w:val="001C7B9F"/>
    <w:rsid w:val="001C7CB3"/>
    <w:rsid w:val="001D1568"/>
    <w:rsid w:val="001D15DE"/>
    <w:rsid w:val="001D211B"/>
    <w:rsid w:val="001D42E7"/>
    <w:rsid w:val="001D4F6F"/>
    <w:rsid w:val="001D53D3"/>
    <w:rsid w:val="001D60B6"/>
    <w:rsid w:val="001E0666"/>
    <w:rsid w:val="001E14AC"/>
    <w:rsid w:val="001E1585"/>
    <w:rsid w:val="001E170A"/>
    <w:rsid w:val="001E35F3"/>
    <w:rsid w:val="001E3636"/>
    <w:rsid w:val="001E4227"/>
    <w:rsid w:val="001E525E"/>
    <w:rsid w:val="001E6506"/>
    <w:rsid w:val="001E73A2"/>
    <w:rsid w:val="001E7BB6"/>
    <w:rsid w:val="001F0AB5"/>
    <w:rsid w:val="001F0CA2"/>
    <w:rsid w:val="001F1F35"/>
    <w:rsid w:val="001F21F6"/>
    <w:rsid w:val="001F7EBC"/>
    <w:rsid w:val="002000DF"/>
    <w:rsid w:val="00201445"/>
    <w:rsid w:val="00201C0D"/>
    <w:rsid w:val="00201D37"/>
    <w:rsid w:val="0020237A"/>
    <w:rsid w:val="00203046"/>
    <w:rsid w:val="00204EE1"/>
    <w:rsid w:val="002051F8"/>
    <w:rsid w:val="00205EC6"/>
    <w:rsid w:val="00206448"/>
    <w:rsid w:val="00206810"/>
    <w:rsid w:val="00206830"/>
    <w:rsid w:val="00210875"/>
    <w:rsid w:val="002112D1"/>
    <w:rsid w:val="00211D2F"/>
    <w:rsid w:val="0021224F"/>
    <w:rsid w:val="00213C7B"/>
    <w:rsid w:val="002155CF"/>
    <w:rsid w:val="00215D1F"/>
    <w:rsid w:val="00216460"/>
    <w:rsid w:val="00220833"/>
    <w:rsid w:val="00220AC8"/>
    <w:rsid w:val="00221938"/>
    <w:rsid w:val="00223F41"/>
    <w:rsid w:val="0022427D"/>
    <w:rsid w:val="00224D5E"/>
    <w:rsid w:val="002256F2"/>
    <w:rsid w:val="0022650B"/>
    <w:rsid w:val="002269A1"/>
    <w:rsid w:val="00226EC7"/>
    <w:rsid w:val="00227060"/>
    <w:rsid w:val="00227750"/>
    <w:rsid w:val="00227867"/>
    <w:rsid w:val="00227F1F"/>
    <w:rsid w:val="00230F65"/>
    <w:rsid w:val="0023153F"/>
    <w:rsid w:val="0023165E"/>
    <w:rsid w:val="00232A63"/>
    <w:rsid w:val="0023338F"/>
    <w:rsid w:val="00234CF0"/>
    <w:rsid w:val="002367E4"/>
    <w:rsid w:val="002370C5"/>
    <w:rsid w:val="00240876"/>
    <w:rsid w:val="00240B4F"/>
    <w:rsid w:val="0024113F"/>
    <w:rsid w:val="00242CE7"/>
    <w:rsid w:val="00244156"/>
    <w:rsid w:val="00244636"/>
    <w:rsid w:val="002458DB"/>
    <w:rsid w:val="00245CB8"/>
    <w:rsid w:val="002469EA"/>
    <w:rsid w:val="002500FC"/>
    <w:rsid w:val="00251556"/>
    <w:rsid w:val="00251CF8"/>
    <w:rsid w:val="00252D38"/>
    <w:rsid w:val="00254E38"/>
    <w:rsid w:val="00255782"/>
    <w:rsid w:val="00256817"/>
    <w:rsid w:val="002569CA"/>
    <w:rsid w:val="00256B0D"/>
    <w:rsid w:val="00257670"/>
    <w:rsid w:val="00257CB2"/>
    <w:rsid w:val="00260783"/>
    <w:rsid w:val="00260DB7"/>
    <w:rsid w:val="00260EBC"/>
    <w:rsid w:val="00262698"/>
    <w:rsid w:val="0026584E"/>
    <w:rsid w:val="00265A07"/>
    <w:rsid w:val="00265D38"/>
    <w:rsid w:val="00265D74"/>
    <w:rsid w:val="0026707B"/>
    <w:rsid w:val="00267D65"/>
    <w:rsid w:val="00270126"/>
    <w:rsid w:val="00270749"/>
    <w:rsid w:val="00271204"/>
    <w:rsid w:val="002713EB"/>
    <w:rsid w:val="002716B6"/>
    <w:rsid w:val="00272838"/>
    <w:rsid w:val="0027311D"/>
    <w:rsid w:val="002743D8"/>
    <w:rsid w:val="00274530"/>
    <w:rsid w:val="00274624"/>
    <w:rsid w:val="0027606A"/>
    <w:rsid w:val="00276182"/>
    <w:rsid w:val="00280ECF"/>
    <w:rsid w:val="00281171"/>
    <w:rsid w:val="00281BB6"/>
    <w:rsid w:val="0028204C"/>
    <w:rsid w:val="00282820"/>
    <w:rsid w:val="0028329E"/>
    <w:rsid w:val="002838A0"/>
    <w:rsid w:val="0028476E"/>
    <w:rsid w:val="00284772"/>
    <w:rsid w:val="002875DF"/>
    <w:rsid w:val="0029082C"/>
    <w:rsid w:val="002927E0"/>
    <w:rsid w:val="00292A51"/>
    <w:rsid w:val="00293239"/>
    <w:rsid w:val="0029353A"/>
    <w:rsid w:val="00293559"/>
    <w:rsid w:val="0029375E"/>
    <w:rsid w:val="00294DDD"/>
    <w:rsid w:val="002962EC"/>
    <w:rsid w:val="00296DCC"/>
    <w:rsid w:val="002A3405"/>
    <w:rsid w:val="002A3588"/>
    <w:rsid w:val="002A3911"/>
    <w:rsid w:val="002A40A4"/>
    <w:rsid w:val="002A40CB"/>
    <w:rsid w:val="002A62CC"/>
    <w:rsid w:val="002A7B71"/>
    <w:rsid w:val="002A7EA2"/>
    <w:rsid w:val="002B063E"/>
    <w:rsid w:val="002B0E93"/>
    <w:rsid w:val="002B1307"/>
    <w:rsid w:val="002B1F69"/>
    <w:rsid w:val="002B2CFF"/>
    <w:rsid w:val="002B3B2F"/>
    <w:rsid w:val="002B5634"/>
    <w:rsid w:val="002B7D2F"/>
    <w:rsid w:val="002C0672"/>
    <w:rsid w:val="002C080F"/>
    <w:rsid w:val="002C0F16"/>
    <w:rsid w:val="002C2D53"/>
    <w:rsid w:val="002C36BC"/>
    <w:rsid w:val="002C572B"/>
    <w:rsid w:val="002C70DF"/>
    <w:rsid w:val="002C7FA9"/>
    <w:rsid w:val="002D0467"/>
    <w:rsid w:val="002D05A3"/>
    <w:rsid w:val="002D0E95"/>
    <w:rsid w:val="002D1F7B"/>
    <w:rsid w:val="002D2003"/>
    <w:rsid w:val="002D2EE5"/>
    <w:rsid w:val="002D5195"/>
    <w:rsid w:val="002D5809"/>
    <w:rsid w:val="002D5A8D"/>
    <w:rsid w:val="002D6CE5"/>
    <w:rsid w:val="002D7D49"/>
    <w:rsid w:val="002E12F0"/>
    <w:rsid w:val="002E179A"/>
    <w:rsid w:val="002E17BB"/>
    <w:rsid w:val="002E2816"/>
    <w:rsid w:val="002E3EFE"/>
    <w:rsid w:val="002E40F2"/>
    <w:rsid w:val="002E5A06"/>
    <w:rsid w:val="002E6035"/>
    <w:rsid w:val="002E7077"/>
    <w:rsid w:val="002E74D4"/>
    <w:rsid w:val="002E76DC"/>
    <w:rsid w:val="002F0647"/>
    <w:rsid w:val="002F0B56"/>
    <w:rsid w:val="002F23EC"/>
    <w:rsid w:val="002F249E"/>
    <w:rsid w:val="002F3E75"/>
    <w:rsid w:val="002F46C3"/>
    <w:rsid w:val="002F788E"/>
    <w:rsid w:val="00300A24"/>
    <w:rsid w:val="00300D79"/>
    <w:rsid w:val="00302C30"/>
    <w:rsid w:val="00302C68"/>
    <w:rsid w:val="003040F0"/>
    <w:rsid w:val="003042A4"/>
    <w:rsid w:val="00304F38"/>
    <w:rsid w:val="003051FE"/>
    <w:rsid w:val="00305BD2"/>
    <w:rsid w:val="00307356"/>
    <w:rsid w:val="00307BC9"/>
    <w:rsid w:val="00310373"/>
    <w:rsid w:val="00311AF2"/>
    <w:rsid w:val="003125FA"/>
    <w:rsid w:val="003130A5"/>
    <w:rsid w:val="00313503"/>
    <w:rsid w:val="00315446"/>
    <w:rsid w:val="00315EF6"/>
    <w:rsid w:val="0031707E"/>
    <w:rsid w:val="00317E58"/>
    <w:rsid w:val="0032053D"/>
    <w:rsid w:val="00320724"/>
    <w:rsid w:val="0032170E"/>
    <w:rsid w:val="00321C61"/>
    <w:rsid w:val="00321C9C"/>
    <w:rsid w:val="003223E6"/>
    <w:rsid w:val="0032272E"/>
    <w:rsid w:val="003229A8"/>
    <w:rsid w:val="00324612"/>
    <w:rsid w:val="00327A33"/>
    <w:rsid w:val="0033040D"/>
    <w:rsid w:val="00330C6F"/>
    <w:rsid w:val="00330DF4"/>
    <w:rsid w:val="00331535"/>
    <w:rsid w:val="00334CCE"/>
    <w:rsid w:val="003350B2"/>
    <w:rsid w:val="00335667"/>
    <w:rsid w:val="00336CC6"/>
    <w:rsid w:val="00336EB7"/>
    <w:rsid w:val="00337BC7"/>
    <w:rsid w:val="00337E03"/>
    <w:rsid w:val="00342018"/>
    <w:rsid w:val="0034275B"/>
    <w:rsid w:val="00342B72"/>
    <w:rsid w:val="00342EF4"/>
    <w:rsid w:val="00343D86"/>
    <w:rsid w:val="00345774"/>
    <w:rsid w:val="00345B28"/>
    <w:rsid w:val="003479A6"/>
    <w:rsid w:val="00350117"/>
    <w:rsid w:val="00351B91"/>
    <w:rsid w:val="003521E0"/>
    <w:rsid w:val="00352A22"/>
    <w:rsid w:val="00353EFF"/>
    <w:rsid w:val="00354B64"/>
    <w:rsid w:val="00355A61"/>
    <w:rsid w:val="00361D44"/>
    <w:rsid w:val="00363AA1"/>
    <w:rsid w:val="003645BD"/>
    <w:rsid w:val="003648CA"/>
    <w:rsid w:val="00364FCB"/>
    <w:rsid w:val="00365424"/>
    <w:rsid w:val="00365475"/>
    <w:rsid w:val="00365F81"/>
    <w:rsid w:val="00367020"/>
    <w:rsid w:val="00371728"/>
    <w:rsid w:val="00372523"/>
    <w:rsid w:val="003737EE"/>
    <w:rsid w:val="0037551E"/>
    <w:rsid w:val="00375CAA"/>
    <w:rsid w:val="00375E92"/>
    <w:rsid w:val="00376AA6"/>
    <w:rsid w:val="003773D6"/>
    <w:rsid w:val="00377660"/>
    <w:rsid w:val="00377DF4"/>
    <w:rsid w:val="00377FE8"/>
    <w:rsid w:val="0038078F"/>
    <w:rsid w:val="00381FEA"/>
    <w:rsid w:val="003839BE"/>
    <w:rsid w:val="00384983"/>
    <w:rsid w:val="003857E1"/>
    <w:rsid w:val="0038640F"/>
    <w:rsid w:val="00387A3A"/>
    <w:rsid w:val="00387FB4"/>
    <w:rsid w:val="00390793"/>
    <w:rsid w:val="0039084B"/>
    <w:rsid w:val="00390C9E"/>
    <w:rsid w:val="00390E9B"/>
    <w:rsid w:val="00391E3A"/>
    <w:rsid w:val="00392194"/>
    <w:rsid w:val="003926AC"/>
    <w:rsid w:val="00392ADC"/>
    <w:rsid w:val="00394877"/>
    <w:rsid w:val="00395D30"/>
    <w:rsid w:val="00395D6C"/>
    <w:rsid w:val="003A0410"/>
    <w:rsid w:val="003A1690"/>
    <w:rsid w:val="003A1A95"/>
    <w:rsid w:val="003A2367"/>
    <w:rsid w:val="003A2C22"/>
    <w:rsid w:val="003A31F1"/>
    <w:rsid w:val="003A3B94"/>
    <w:rsid w:val="003A4118"/>
    <w:rsid w:val="003A4DE3"/>
    <w:rsid w:val="003A5C3C"/>
    <w:rsid w:val="003A6E20"/>
    <w:rsid w:val="003A78EE"/>
    <w:rsid w:val="003B098D"/>
    <w:rsid w:val="003B1689"/>
    <w:rsid w:val="003B1E5A"/>
    <w:rsid w:val="003B1EAD"/>
    <w:rsid w:val="003B24F6"/>
    <w:rsid w:val="003B2A23"/>
    <w:rsid w:val="003B3310"/>
    <w:rsid w:val="003B3C53"/>
    <w:rsid w:val="003B45C8"/>
    <w:rsid w:val="003B55FC"/>
    <w:rsid w:val="003B5948"/>
    <w:rsid w:val="003B72B6"/>
    <w:rsid w:val="003C16E8"/>
    <w:rsid w:val="003C1769"/>
    <w:rsid w:val="003C1DC1"/>
    <w:rsid w:val="003C2BBD"/>
    <w:rsid w:val="003C36B3"/>
    <w:rsid w:val="003C39D6"/>
    <w:rsid w:val="003C3EE4"/>
    <w:rsid w:val="003C4353"/>
    <w:rsid w:val="003C5E73"/>
    <w:rsid w:val="003C642A"/>
    <w:rsid w:val="003C71CE"/>
    <w:rsid w:val="003C7890"/>
    <w:rsid w:val="003C7C81"/>
    <w:rsid w:val="003D0194"/>
    <w:rsid w:val="003D2E0C"/>
    <w:rsid w:val="003D3129"/>
    <w:rsid w:val="003D3F1B"/>
    <w:rsid w:val="003D4CB7"/>
    <w:rsid w:val="003D4F36"/>
    <w:rsid w:val="003D52E1"/>
    <w:rsid w:val="003D5585"/>
    <w:rsid w:val="003D6E87"/>
    <w:rsid w:val="003D7ACB"/>
    <w:rsid w:val="003E08AC"/>
    <w:rsid w:val="003E1EC1"/>
    <w:rsid w:val="003E3542"/>
    <w:rsid w:val="003E4C96"/>
    <w:rsid w:val="003E51D1"/>
    <w:rsid w:val="003E5D4B"/>
    <w:rsid w:val="003E5FF0"/>
    <w:rsid w:val="003E6AFB"/>
    <w:rsid w:val="003E7102"/>
    <w:rsid w:val="003F02F5"/>
    <w:rsid w:val="003F1B13"/>
    <w:rsid w:val="003F1BE2"/>
    <w:rsid w:val="003F1C26"/>
    <w:rsid w:val="003F4A92"/>
    <w:rsid w:val="003F516E"/>
    <w:rsid w:val="003F552D"/>
    <w:rsid w:val="003F5B57"/>
    <w:rsid w:val="003F5C87"/>
    <w:rsid w:val="003F6B8E"/>
    <w:rsid w:val="003F7CA4"/>
    <w:rsid w:val="00400469"/>
    <w:rsid w:val="00402EAD"/>
    <w:rsid w:val="0040368D"/>
    <w:rsid w:val="00403D15"/>
    <w:rsid w:val="0040476F"/>
    <w:rsid w:val="00404C4D"/>
    <w:rsid w:val="00407112"/>
    <w:rsid w:val="0040741B"/>
    <w:rsid w:val="00407BDF"/>
    <w:rsid w:val="00410448"/>
    <w:rsid w:val="004105AF"/>
    <w:rsid w:val="00412BA7"/>
    <w:rsid w:val="004142B9"/>
    <w:rsid w:val="00414A40"/>
    <w:rsid w:val="00414C39"/>
    <w:rsid w:val="0041512F"/>
    <w:rsid w:val="004172EF"/>
    <w:rsid w:val="00417BBA"/>
    <w:rsid w:val="00421F37"/>
    <w:rsid w:val="004239F7"/>
    <w:rsid w:val="0042719A"/>
    <w:rsid w:val="00427910"/>
    <w:rsid w:val="00430D1C"/>
    <w:rsid w:val="00434228"/>
    <w:rsid w:val="0043565A"/>
    <w:rsid w:val="00437FAB"/>
    <w:rsid w:val="00440A29"/>
    <w:rsid w:val="0044120F"/>
    <w:rsid w:val="004412E1"/>
    <w:rsid w:val="00441713"/>
    <w:rsid w:val="00442141"/>
    <w:rsid w:val="004424DD"/>
    <w:rsid w:val="0044294B"/>
    <w:rsid w:val="00445808"/>
    <w:rsid w:val="00446357"/>
    <w:rsid w:val="0044675D"/>
    <w:rsid w:val="00446AD8"/>
    <w:rsid w:val="00447727"/>
    <w:rsid w:val="00447CF4"/>
    <w:rsid w:val="00451117"/>
    <w:rsid w:val="00452A66"/>
    <w:rsid w:val="00452DFE"/>
    <w:rsid w:val="00453B06"/>
    <w:rsid w:val="0045596C"/>
    <w:rsid w:val="00455A7A"/>
    <w:rsid w:val="0045641A"/>
    <w:rsid w:val="00456DA2"/>
    <w:rsid w:val="0046155A"/>
    <w:rsid w:val="004616C2"/>
    <w:rsid w:val="00461B26"/>
    <w:rsid w:val="00461DB8"/>
    <w:rsid w:val="00461ECF"/>
    <w:rsid w:val="00462BC3"/>
    <w:rsid w:val="00465DCF"/>
    <w:rsid w:val="00466540"/>
    <w:rsid w:val="004669C7"/>
    <w:rsid w:val="00467187"/>
    <w:rsid w:val="00467A8D"/>
    <w:rsid w:val="004703D4"/>
    <w:rsid w:val="004705C1"/>
    <w:rsid w:val="004708D1"/>
    <w:rsid w:val="00471049"/>
    <w:rsid w:val="00471249"/>
    <w:rsid w:val="004720C3"/>
    <w:rsid w:val="00472AB1"/>
    <w:rsid w:val="00473B8B"/>
    <w:rsid w:val="00474938"/>
    <w:rsid w:val="004749AA"/>
    <w:rsid w:val="0047571D"/>
    <w:rsid w:val="00475AC2"/>
    <w:rsid w:val="00475B5A"/>
    <w:rsid w:val="0047639C"/>
    <w:rsid w:val="004766A7"/>
    <w:rsid w:val="00476DD5"/>
    <w:rsid w:val="00476E64"/>
    <w:rsid w:val="0047779A"/>
    <w:rsid w:val="0048058A"/>
    <w:rsid w:val="004806C2"/>
    <w:rsid w:val="0048115A"/>
    <w:rsid w:val="0048490B"/>
    <w:rsid w:val="00485C32"/>
    <w:rsid w:val="00486CE1"/>
    <w:rsid w:val="00490419"/>
    <w:rsid w:val="00490558"/>
    <w:rsid w:val="00490A8D"/>
    <w:rsid w:val="00490BA1"/>
    <w:rsid w:val="00490C0F"/>
    <w:rsid w:val="00490D80"/>
    <w:rsid w:val="00491B85"/>
    <w:rsid w:val="00492FA9"/>
    <w:rsid w:val="004949B6"/>
    <w:rsid w:val="00495F19"/>
    <w:rsid w:val="00496B55"/>
    <w:rsid w:val="00497393"/>
    <w:rsid w:val="00497569"/>
    <w:rsid w:val="004977DB"/>
    <w:rsid w:val="004A4092"/>
    <w:rsid w:val="004A40C7"/>
    <w:rsid w:val="004A47AD"/>
    <w:rsid w:val="004A49EE"/>
    <w:rsid w:val="004A6AA5"/>
    <w:rsid w:val="004B05F0"/>
    <w:rsid w:val="004B31EB"/>
    <w:rsid w:val="004B33F5"/>
    <w:rsid w:val="004B3453"/>
    <w:rsid w:val="004B5204"/>
    <w:rsid w:val="004B5919"/>
    <w:rsid w:val="004B75EC"/>
    <w:rsid w:val="004B7E30"/>
    <w:rsid w:val="004C12BD"/>
    <w:rsid w:val="004C1D74"/>
    <w:rsid w:val="004C2BA5"/>
    <w:rsid w:val="004C3411"/>
    <w:rsid w:val="004C54CA"/>
    <w:rsid w:val="004C62DE"/>
    <w:rsid w:val="004C66BC"/>
    <w:rsid w:val="004C6736"/>
    <w:rsid w:val="004C79B1"/>
    <w:rsid w:val="004D0E78"/>
    <w:rsid w:val="004D13A6"/>
    <w:rsid w:val="004D23F5"/>
    <w:rsid w:val="004D2D20"/>
    <w:rsid w:val="004D2EC9"/>
    <w:rsid w:val="004D33F9"/>
    <w:rsid w:val="004D3FCA"/>
    <w:rsid w:val="004D5005"/>
    <w:rsid w:val="004D581D"/>
    <w:rsid w:val="004D58B3"/>
    <w:rsid w:val="004D5927"/>
    <w:rsid w:val="004D6227"/>
    <w:rsid w:val="004D6CAE"/>
    <w:rsid w:val="004D720C"/>
    <w:rsid w:val="004D7643"/>
    <w:rsid w:val="004E08F6"/>
    <w:rsid w:val="004E2CAB"/>
    <w:rsid w:val="004E2CE1"/>
    <w:rsid w:val="004E3F38"/>
    <w:rsid w:val="004E44A6"/>
    <w:rsid w:val="004E4F42"/>
    <w:rsid w:val="004E548B"/>
    <w:rsid w:val="004E65AB"/>
    <w:rsid w:val="004E756D"/>
    <w:rsid w:val="004F0273"/>
    <w:rsid w:val="004F341B"/>
    <w:rsid w:val="004F3690"/>
    <w:rsid w:val="004F36D3"/>
    <w:rsid w:val="004F3C6B"/>
    <w:rsid w:val="004F4352"/>
    <w:rsid w:val="004F62E8"/>
    <w:rsid w:val="004F780C"/>
    <w:rsid w:val="004F7867"/>
    <w:rsid w:val="004F7C1A"/>
    <w:rsid w:val="00501D37"/>
    <w:rsid w:val="00502280"/>
    <w:rsid w:val="005038D3"/>
    <w:rsid w:val="00504504"/>
    <w:rsid w:val="00504F4F"/>
    <w:rsid w:val="005057B0"/>
    <w:rsid w:val="0050707D"/>
    <w:rsid w:val="005109F7"/>
    <w:rsid w:val="00510AE7"/>
    <w:rsid w:val="00511367"/>
    <w:rsid w:val="005128CA"/>
    <w:rsid w:val="00512C12"/>
    <w:rsid w:val="00512FA1"/>
    <w:rsid w:val="005134F7"/>
    <w:rsid w:val="0051352A"/>
    <w:rsid w:val="00513A93"/>
    <w:rsid w:val="00513D19"/>
    <w:rsid w:val="00514C31"/>
    <w:rsid w:val="00515A1C"/>
    <w:rsid w:val="00515A3E"/>
    <w:rsid w:val="00517109"/>
    <w:rsid w:val="005171CF"/>
    <w:rsid w:val="00517E10"/>
    <w:rsid w:val="00520B57"/>
    <w:rsid w:val="00521092"/>
    <w:rsid w:val="00521AC9"/>
    <w:rsid w:val="005231B9"/>
    <w:rsid w:val="00523DFE"/>
    <w:rsid w:val="005240BE"/>
    <w:rsid w:val="005241E2"/>
    <w:rsid w:val="00524648"/>
    <w:rsid w:val="005250F1"/>
    <w:rsid w:val="005257F8"/>
    <w:rsid w:val="00526311"/>
    <w:rsid w:val="005265F4"/>
    <w:rsid w:val="0052795D"/>
    <w:rsid w:val="00531CAA"/>
    <w:rsid w:val="00532909"/>
    <w:rsid w:val="00532C41"/>
    <w:rsid w:val="00532F0F"/>
    <w:rsid w:val="0053372B"/>
    <w:rsid w:val="005345D9"/>
    <w:rsid w:val="00534CD4"/>
    <w:rsid w:val="0053521E"/>
    <w:rsid w:val="00535346"/>
    <w:rsid w:val="00535510"/>
    <w:rsid w:val="005355DE"/>
    <w:rsid w:val="005356CF"/>
    <w:rsid w:val="00536CA9"/>
    <w:rsid w:val="00537DAC"/>
    <w:rsid w:val="00540E96"/>
    <w:rsid w:val="0054131A"/>
    <w:rsid w:val="00541911"/>
    <w:rsid w:val="00541C7D"/>
    <w:rsid w:val="00541F9A"/>
    <w:rsid w:val="005432A5"/>
    <w:rsid w:val="0054396E"/>
    <w:rsid w:val="005448CC"/>
    <w:rsid w:val="005451A5"/>
    <w:rsid w:val="00545446"/>
    <w:rsid w:val="0054555F"/>
    <w:rsid w:val="00547761"/>
    <w:rsid w:val="005479AB"/>
    <w:rsid w:val="00547DE4"/>
    <w:rsid w:val="005508C6"/>
    <w:rsid w:val="00553935"/>
    <w:rsid w:val="00553A3E"/>
    <w:rsid w:val="005545C6"/>
    <w:rsid w:val="00554BFF"/>
    <w:rsid w:val="00555467"/>
    <w:rsid w:val="00557038"/>
    <w:rsid w:val="00557183"/>
    <w:rsid w:val="00557E01"/>
    <w:rsid w:val="005605BB"/>
    <w:rsid w:val="00560DEF"/>
    <w:rsid w:val="00560F40"/>
    <w:rsid w:val="00561078"/>
    <w:rsid w:val="00563976"/>
    <w:rsid w:val="005646EF"/>
    <w:rsid w:val="005660D8"/>
    <w:rsid w:val="005668C9"/>
    <w:rsid w:val="005704D3"/>
    <w:rsid w:val="005725C7"/>
    <w:rsid w:val="00574401"/>
    <w:rsid w:val="00575230"/>
    <w:rsid w:val="00576F26"/>
    <w:rsid w:val="00577289"/>
    <w:rsid w:val="005829FC"/>
    <w:rsid w:val="00583D20"/>
    <w:rsid w:val="00584C6C"/>
    <w:rsid w:val="0058510C"/>
    <w:rsid w:val="00585836"/>
    <w:rsid w:val="00586E2A"/>
    <w:rsid w:val="00587001"/>
    <w:rsid w:val="00587640"/>
    <w:rsid w:val="00587D42"/>
    <w:rsid w:val="00590332"/>
    <w:rsid w:val="00590B10"/>
    <w:rsid w:val="0059167F"/>
    <w:rsid w:val="00592266"/>
    <w:rsid w:val="005927DD"/>
    <w:rsid w:val="00593756"/>
    <w:rsid w:val="0059458E"/>
    <w:rsid w:val="00594FDE"/>
    <w:rsid w:val="005964F1"/>
    <w:rsid w:val="00596C06"/>
    <w:rsid w:val="00597718"/>
    <w:rsid w:val="005A0E1F"/>
    <w:rsid w:val="005A11AF"/>
    <w:rsid w:val="005A16CB"/>
    <w:rsid w:val="005A1942"/>
    <w:rsid w:val="005A1A3C"/>
    <w:rsid w:val="005A1D7D"/>
    <w:rsid w:val="005A206C"/>
    <w:rsid w:val="005A2BC4"/>
    <w:rsid w:val="005A741F"/>
    <w:rsid w:val="005B0A65"/>
    <w:rsid w:val="005B1093"/>
    <w:rsid w:val="005B22CF"/>
    <w:rsid w:val="005B2EF3"/>
    <w:rsid w:val="005B3A27"/>
    <w:rsid w:val="005B418C"/>
    <w:rsid w:val="005B5248"/>
    <w:rsid w:val="005B528D"/>
    <w:rsid w:val="005B52B7"/>
    <w:rsid w:val="005B5611"/>
    <w:rsid w:val="005B6076"/>
    <w:rsid w:val="005B7B72"/>
    <w:rsid w:val="005C2E0E"/>
    <w:rsid w:val="005C3153"/>
    <w:rsid w:val="005C489E"/>
    <w:rsid w:val="005C6A0B"/>
    <w:rsid w:val="005C735D"/>
    <w:rsid w:val="005C764D"/>
    <w:rsid w:val="005D0366"/>
    <w:rsid w:val="005D4729"/>
    <w:rsid w:val="005D4CBF"/>
    <w:rsid w:val="005D5AD3"/>
    <w:rsid w:val="005D6523"/>
    <w:rsid w:val="005D6DDD"/>
    <w:rsid w:val="005D6ED0"/>
    <w:rsid w:val="005D7DBA"/>
    <w:rsid w:val="005E1066"/>
    <w:rsid w:val="005E2308"/>
    <w:rsid w:val="005E25A3"/>
    <w:rsid w:val="005E27F6"/>
    <w:rsid w:val="005E3B55"/>
    <w:rsid w:val="005E4022"/>
    <w:rsid w:val="005E4591"/>
    <w:rsid w:val="005E48F7"/>
    <w:rsid w:val="005E4AD2"/>
    <w:rsid w:val="005E4DA2"/>
    <w:rsid w:val="005E5D05"/>
    <w:rsid w:val="005E5F71"/>
    <w:rsid w:val="005E608E"/>
    <w:rsid w:val="005E6538"/>
    <w:rsid w:val="005E7F43"/>
    <w:rsid w:val="005F0E48"/>
    <w:rsid w:val="005F1A82"/>
    <w:rsid w:val="005F2024"/>
    <w:rsid w:val="005F21B4"/>
    <w:rsid w:val="005F3C6C"/>
    <w:rsid w:val="005F421C"/>
    <w:rsid w:val="005F434F"/>
    <w:rsid w:val="005F4ADC"/>
    <w:rsid w:val="005F4E10"/>
    <w:rsid w:val="005F4FAB"/>
    <w:rsid w:val="005F55E5"/>
    <w:rsid w:val="005F5C21"/>
    <w:rsid w:val="005F5DBE"/>
    <w:rsid w:val="005F65CF"/>
    <w:rsid w:val="005F6E1F"/>
    <w:rsid w:val="0060340D"/>
    <w:rsid w:val="0060408A"/>
    <w:rsid w:val="00605210"/>
    <w:rsid w:val="00605742"/>
    <w:rsid w:val="00605AA4"/>
    <w:rsid w:val="00606A88"/>
    <w:rsid w:val="00607014"/>
    <w:rsid w:val="006073BF"/>
    <w:rsid w:val="00607992"/>
    <w:rsid w:val="00610F16"/>
    <w:rsid w:val="00611070"/>
    <w:rsid w:val="0061134D"/>
    <w:rsid w:val="00611B04"/>
    <w:rsid w:val="00611F61"/>
    <w:rsid w:val="0061231D"/>
    <w:rsid w:val="006125C6"/>
    <w:rsid w:val="00612BFF"/>
    <w:rsid w:val="00612FBC"/>
    <w:rsid w:val="006133F3"/>
    <w:rsid w:val="006137A3"/>
    <w:rsid w:val="0061457C"/>
    <w:rsid w:val="00614613"/>
    <w:rsid w:val="006149F6"/>
    <w:rsid w:val="006202AF"/>
    <w:rsid w:val="0062120F"/>
    <w:rsid w:val="00621311"/>
    <w:rsid w:val="00621E28"/>
    <w:rsid w:val="006221E5"/>
    <w:rsid w:val="0062236B"/>
    <w:rsid w:val="006225E2"/>
    <w:rsid w:val="00625C4C"/>
    <w:rsid w:val="00627DD9"/>
    <w:rsid w:val="00630565"/>
    <w:rsid w:val="006310CB"/>
    <w:rsid w:val="00631884"/>
    <w:rsid w:val="00632A22"/>
    <w:rsid w:val="00632DCD"/>
    <w:rsid w:val="00633120"/>
    <w:rsid w:val="006332CC"/>
    <w:rsid w:val="00635C93"/>
    <w:rsid w:val="006374D5"/>
    <w:rsid w:val="00637F95"/>
    <w:rsid w:val="00643833"/>
    <w:rsid w:val="0064390D"/>
    <w:rsid w:val="00643CCF"/>
    <w:rsid w:val="00643E4B"/>
    <w:rsid w:val="00644AF1"/>
    <w:rsid w:val="00646108"/>
    <w:rsid w:val="00646812"/>
    <w:rsid w:val="006471BE"/>
    <w:rsid w:val="00647842"/>
    <w:rsid w:val="00650BE8"/>
    <w:rsid w:val="00650D78"/>
    <w:rsid w:val="00651313"/>
    <w:rsid w:val="00651B42"/>
    <w:rsid w:val="00651B4F"/>
    <w:rsid w:val="00653906"/>
    <w:rsid w:val="00655C4D"/>
    <w:rsid w:val="006575CA"/>
    <w:rsid w:val="0065768D"/>
    <w:rsid w:val="00660863"/>
    <w:rsid w:val="00662ABE"/>
    <w:rsid w:val="00663820"/>
    <w:rsid w:val="006662CB"/>
    <w:rsid w:val="006667C3"/>
    <w:rsid w:val="006679D9"/>
    <w:rsid w:val="00670A4E"/>
    <w:rsid w:val="00670B83"/>
    <w:rsid w:val="006725D9"/>
    <w:rsid w:val="006725DB"/>
    <w:rsid w:val="006727B2"/>
    <w:rsid w:val="00672E10"/>
    <w:rsid w:val="00672FA8"/>
    <w:rsid w:val="00674879"/>
    <w:rsid w:val="00674EC1"/>
    <w:rsid w:val="00675970"/>
    <w:rsid w:val="00675A7F"/>
    <w:rsid w:val="00676361"/>
    <w:rsid w:val="0067765D"/>
    <w:rsid w:val="0068081C"/>
    <w:rsid w:val="00681245"/>
    <w:rsid w:val="00683419"/>
    <w:rsid w:val="00684E6F"/>
    <w:rsid w:val="006873A4"/>
    <w:rsid w:val="00693209"/>
    <w:rsid w:val="00694BAF"/>
    <w:rsid w:val="00695694"/>
    <w:rsid w:val="006973E5"/>
    <w:rsid w:val="00697623"/>
    <w:rsid w:val="006976BB"/>
    <w:rsid w:val="0069775F"/>
    <w:rsid w:val="006A01A7"/>
    <w:rsid w:val="006A054F"/>
    <w:rsid w:val="006A0CCD"/>
    <w:rsid w:val="006A15B6"/>
    <w:rsid w:val="006A3769"/>
    <w:rsid w:val="006A4B60"/>
    <w:rsid w:val="006A54F5"/>
    <w:rsid w:val="006A5A22"/>
    <w:rsid w:val="006A5EB8"/>
    <w:rsid w:val="006A7E1B"/>
    <w:rsid w:val="006B0F02"/>
    <w:rsid w:val="006B159E"/>
    <w:rsid w:val="006B21BB"/>
    <w:rsid w:val="006B29A9"/>
    <w:rsid w:val="006B42CE"/>
    <w:rsid w:val="006B5850"/>
    <w:rsid w:val="006B6494"/>
    <w:rsid w:val="006B65F5"/>
    <w:rsid w:val="006B6D02"/>
    <w:rsid w:val="006B6EAB"/>
    <w:rsid w:val="006B731E"/>
    <w:rsid w:val="006B79D3"/>
    <w:rsid w:val="006C0558"/>
    <w:rsid w:val="006C1E30"/>
    <w:rsid w:val="006C2000"/>
    <w:rsid w:val="006C243F"/>
    <w:rsid w:val="006C2F89"/>
    <w:rsid w:val="006C3F83"/>
    <w:rsid w:val="006C4B61"/>
    <w:rsid w:val="006C5E77"/>
    <w:rsid w:val="006C6D24"/>
    <w:rsid w:val="006C71E9"/>
    <w:rsid w:val="006C7E7D"/>
    <w:rsid w:val="006D3C22"/>
    <w:rsid w:val="006D43B8"/>
    <w:rsid w:val="006D441B"/>
    <w:rsid w:val="006D4838"/>
    <w:rsid w:val="006D5772"/>
    <w:rsid w:val="006D5820"/>
    <w:rsid w:val="006D5836"/>
    <w:rsid w:val="006D5E96"/>
    <w:rsid w:val="006D6FE3"/>
    <w:rsid w:val="006D72BE"/>
    <w:rsid w:val="006E0F1D"/>
    <w:rsid w:val="006E13E6"/>
    <w:rsid w:val="006E2123"/>
    <w:rsid w:val="006E3380"/>
    <w:rsid w:val="006E47F7"/>
    <w:rsid w:val="006E581F"/>
    <w:rsid w:val="006E62AE"/>
    <w:rsid w:val="006E6B8C"/>
    <w:rsid w:val="006E7D7D"/>
    <w:rsid w:val="006F05CD"/>
    <w:rsid w:val="006F1035"/>
    <w:rsid w:val="006F17B6"/>
    <w:rsid w:val="006F2306"/>
    <w:rsid w:val="006F2637"/>
    <w:rsid w:val="006F30DF"/>
    <w:rsid w:val="006F3264"/>
    <w:rsid w:val="006F39E1"/>
    <w:rsid w:val="006F5807"/>
    <w:rsid w:val="006F5F8A"/>
    <w:rsid w:val="006F6A23"/>
    <w:rsid w:val="006F7629"/>
    <w:rsid w:val="006F7D7C"/>
    <w:rsid w:val="00701FC8"/>
    <w:rsid w:val="007026B1"/>
    <w:rsid w:val="00704381"/>
    <w:rsid w:val="007120A0"/>
    <w:rsid w:val="0071449F"/>
    <w:rsid w:val="007144DF"/>
    <w:rsid w:val="0071617F"/>
    <w:rsid w:val="00716DD6"/>
    <w:rsid w:val="00720F44"/>
    <w:rsid w:val="00721D19"/>
    <w:rsid w:val="00722189"/>
    <w:rsid w:val="007235F6"/>
    <w:rsid w:val="007243F3"/>
    <w:rsid w:val="007246D4"/>
    <w:rsid w:val="007276D6"/>
    <w:rsid w:val="00730887"/>
    <w:rsid w:val="00730F4E"/>
    <w:rsid w:val="00732080"/>
    <w:rsid w:val="007347CD"/>
    <w:rsid w:val="007357A0"/>
    <w:rsid w:val="00735AEA"/>
    <w:rsid w:val="00735D20"/>
    <w:rsid w:val="00735E63"/>
    <w:rsid w:val="00737CE1"/>
    <w:rsid w:val="00740233"/>
    <w:rsid w:val="00741F41"/>
    <w:rsid w:val="00742B05"/>
    <w:rsid w:val="00743191"/>
    <w:rsid w:val="00743DAD"/>
    <w:rsid w:val="0074451C"/>
    <w:rsid w:val="00745115"/>
    <w:rsid w:val="007462A3"/>
    <w:rsid w:val="007470AE"/>
    <w:rsid w:val="00747CCA"/>
    <w:rsid w:val="00750C49"/>
    <w:rsid w:val="00751FDE"/>
    <w:rsid w:val="007529F9"/>
    <w:rsid w:val="00752B31"/>
    <w:rsid w:val="00752BC0"/>
    <w:rsid w:val="00752FE4"/>
    <w:rsid w:val="0075366B"/>
    <w:rsid w:val="00753B5D"/>
    <w:rsid w:val="00753DF2"/>
    <w:rsid w:val="00754A15"/>
    <w:rsid w:val="0075521E"/>
    <w:rsid w:val="00755455"/>
    <w:rsid w:val="00755936"/>
    <w:rsid w:val="00755E60"/>
    <w:rsid w:val="00757130"/>
    <w:rsid w:val="007574A2"/>
    <w:rsid w:val="0076025A"/>
    <w:rsid w:val="00764272"/>
    <w:rsid w:val="0076499D"/>
    <w:rsid w:val="0076617F"/>
    <w:rsid w:val="0076620C"/>
    <w:rsid w:val="007665A7"/>
    <w:rsid w:val="007676F5"/>
    <w:rsid w:val="0076787E"/>
    <w:rsid w:val="00770175"/>
    <w:rsid w:val="007704A5"/>
    <w:rsid w:val="00770FDC"/>
    <w:rsid w:val="007715E0"/>
    <w:rsid w:val="007715F7"/>
    <w:rsid w:val="0077249D"/>
    <w:rsid w:val="007727BE"/>
    <w:rsid w:val="007754DF"/>
    <w:rsid w:val="0077553C"/>
    <w:rsid w:val="00775875"/>
    <w:rsid w:val="00775BA6"/>
    <w:rsid w:val="0078032F"/>
    <w:rsid w:val="00780937"/>
    <w:rsid w:val="00780A2C"/>
    <w:rsid w:val="007818B2"/>
    <w:rsid w:val="00781A59"/>
    <w:rsid w:val="00781CA2"/>
    <w:rsid w:val="00782C22"/>
    <w:rsid w:val="00782D89"/>
    <w:rsid w:val="0078357E"/>
    <w:rsid w:val="00783614"/>
    <w:rsid w:val="00784297"/>
    <w:rsid w:val="007848FC"/>
    <w:rsid w:val="0078559D"/>
    <w:rsid w:val="00786789"/>
    <w:rsid w:val="0079064B"/>
    <w:rsid w:val="00790756"/>
    <w:rsid w:val="007914D2"/>
    <w:rsid w:val="0079301D"/>
    <w:rsid w:val="00794E29"/>
    <w:rsid w:val="00796398"/>
    <w:rsid w:val="007A066A"/>
    <w:rsid w:val="007A14B2"/>
    <w:rsid w:val="007A1542"/>
    <w:rsid w:val="007A158E"/>
    <w:rsid w:val="007A26BB"/>
    <w:rsid w:val="007A45C3"/>
    <w:rsid w:val="007A57AA"/>
    <w:rsid w:val="007A6C3C"/>
    <w:rsid w:val="007A70EC"/>
    <w:rsid w:val="007A7C0A"/>
    <w:rsid w:val="007B07E0"/>
    <w:rsid w:val="007B11F1"/>
    <w:rsid w:val="007B202A"/>
    <w:rsid w:val="007B3CAA"/>
    <w:rsid w:val="007B46DE"/>
    <w:rsid w:val="007B492F"/>
    <w:rsid w:val="007B7F9D"/>
    <w:rsid w:val="007C2029"/>
    <w:rsid w:val="007C211C"/>
    <w:rsid w:val="007C4440"/>
    <w:rsid w:val="007C4637"/>
    <w:rsid w:val="007C4FB7"/>
    <w:rsid w:val="007C50ED"/>
    <w:rsid w:val="007C60C5"/>
    <w:rsid w:val="007C60CA"/>
    <w:rsid w:val="007C66A7"/>
    <w:rsid w:val="007C67AC"/>
    <w:rsid w:val="007C7E7A"/>
    <w:rsid w:val="007D0491"/>
    <w:rsid w:val="007D05BE"/>
    <w:rsid w:val="007D2AB9"/>
    <w:rsid w:val="007D2E29"/>
    <w:rsid w:val="007D30DD"/>
    <w:rsid w:val="007D57B0"/>
    <w:rsid w:val="007D59AA"/>
    <w:rsid w:val="007D7176"/>
    <w:rsid w:val="007E062A"/>
    <w:rsid w:val="007E2F9B"/>
    <w:rsid w:val="007E333A"/>
    <w:rsid w:val="007E511D"/>
    <w:rsid w:val="007E52F8"/>
    <w:rsid w:val="007E5B3B"/>
    <w:rsid w:val="007E6442"/>
    <w:rsid w:val="007E7F0F"/>
    <w:rsid w:val="007F2B54"/>
    <w:rsid w:val="007F325C"/>
    <w:rsid w:val="007F3E35"/>
    <w:rsid w:val="007F44FD"/>
    <w:rsid w:val="007F4AD5"/>
    <w:rsid w:val="007F52EA"/>
    <w:rsid w:val="007F6794"/>
    <w:rsid w:val="007F7622"/>
    <w:rsid w:val="00800113"/>
    <w:rsid w:val="00802DDA"/>
    <w:rsid w:val="008035A9"/>
    <w:rsid w:val="00803E2D"/>
    <w:rsid w:val="008047D6"/>
    <w:rsid w:val="00805268"/>
    <w:rsid w:val="00805C5F"/>
    <w:rsid w:val="00806593"/>
    <w:rsid w:val="00806763"/>
    <w:rsid w:val="0080726C"/>
    <w:rsid w:val="008074BD"/>
    <w:rsid w:val="008100E9"/>
    <w:rsid w:val="008111BF"/>
    <w:rsid w:val="00811719"/>
    <w:rsid w:val="008142D6"/>
    <w:rsid w:val="00814BB7"/>
    <w:rsid w:val="0081597A"/>
    <w:rsid w:val="00816001"/>
    <w:rsid w:val="008164DF"/>
    <w:rsid w:val="008172E0"/>
    <w:rsid w:val="0081735D"/>
    <w:rsid w:val="00817AB7"/>
    <w:rsid w:val="008204C6"/>
    <w:rsid w:val="00820A76"/>
    <w:rsid w:val="00820E94"/>
    <w:rsid w:val="0082179C"/>
    <w:rsid w:val="00821890"/>
    <w:rsid w:val="00821E17"/>
    <w:rsid w:val="008223FF"/>
    <w:rsid w:val="008229B5"/>
    <w:rsid w:val="008252E8"/>
    <w:rsid w:val="0082602B"/>
    <w:rsid w:val="008275DD"/>
    <w:rsid w:val="008276A0"/>
    <w:rsid w:val="00830506"/>
    <w:rsid w:val="0083096D"/>
    <w:rsid w:val="008316CF"/>
    <w:rsid w:val="00831888"/>
    <w:rsid w:val="00835729"/>
    <w:rsid w:val="00835754"/>
    <w:rsid w:val="0083657A"/>
    <w:rsid w:val="00836B5A"/>
    <w:rsid w:val="00840DFF"/>
    <w:rsid w:val="00841F79"/>
    <w:rsid w:val="00842F20"/>
    <w:rsid w:val="00842F33"/>
    <w:rsid w:val="0084391E"/>
    <w:rsid w:val="00844487"/>
    <w:rsid w:val="00844B7E"/>
    <w:rsid w:val="008455E3"/>
    <w:rsid w:val="00846070"/>
    <w:rsid w:val="00846204"/>
    <w:rsid w:val="0084784D"/>
    <w:rsid w:val="008509DD"/>
    <w:rsid w:val="00851A78"/>
    <w:rsid w:val="00851CE8"/>
    <w:rsid w:val="0085450E"/>
    <w:rsid w:val="0085494C"/>
    <w:rsid w:val="00855FC4"/>
    <w:rsid w:val="00857B54"/>
    <w:rsid w:val="00857E6F"/>
    <w:rsid w:val="008612D9"/>
    <w:rsid w:val="0086160F"/>
    <w:rsid w:val="00861F7B"/>
    <w:rsid w:val="008629A9"/>
    <w:rsid w:val="00863A6B"/>
    <w:rsid w:val="00863C17"/>
    <w:rsid w:val="0086421F"/>
    <w:rsid w:val="0086519A"/>
    <w:rsid w:val="0086667D"/>
    <w:rsid w:val="0086747D"/>
    <w:rsid w:val="00867C71"/>
    <w:rsid w:val="00867CE4"/>
    <w:rsid w:val="00870D74"/>
    <w:rsid w:val="0087257C"/>
    <w:rsid w:val="00872B77"/>
    <w:rsid w:val="00872E6D"/>
    <w:rsid w:val="00873EF2"/>
    <w:rsid w:val="0087454B"/>
    <w:rsid w:val="00874799"/>
    <w:rsid w:val="00874E33"/>
    <w:rsid w:val="00876200"/>
    <w:rsid w:val="008765FA"/>
    <w:rsid w:val="00877450"/>
    <w:rsid w:val="00877A9E"/>
    <w:rsid w:val="00880A24"/>
    <w:rsid w:val="00882478"/>
    <w:rsid w:val="00883509"/>
    <w:rsid w:val="008845B9"/>
    <w:rsid w:val="00884C54"/>
    <w:rsid w:val="008857A9"/>
    <w:rsid w:val="00886A03"/>
    <w:rsid w:val="00887215"/>
    <w:rsid w:val="0089079E"/>
    <w:rsid w:val="008927F7"/>
    <w:rsid w:val="00893463"/>
    <w:rsid w:val="00895EDC"/>
    <w:rsid w:val="00896272"/>
    <w:rsid w:val="00896A15"/>
    <w:rsid w:val="00896FE7"/>
    <w:rsid w:val="008A0692"/>
    <w:rsid w:val="008A0BF3"/>
    <w:rsid w:val="008A152F"/>
    <w:rsid w:val="008A25E5"/>
    <w:rsid w:val="008A3898"/>
    <w:rsid w:val="008A394A"/>
    <w:rsid w:val="008A3A24"/>
    <w:rsid w:val="008A4E20"/>
    <w:rsid w:val="008A5A02"/>
    <w:rsid w:val="008A5B7A"/>
    <w:rsid w:val="008A6574"/>
    <w:rsid w:val="008A6B83"/>
    <w:rsid w:val="008B1E6E"/>
    <w:rsid w:val="008B2763"/>
    <w:rsid w:val="008B2C04"/>
    <w:rsid w:val="008B2F59"/>
    <w:rsid w:val="008B5ABE"/>
    <w:rsid w:val="008B621D"/>
    <w:rsid w:val="008B6903"/>
    <w:rsid w:val="008B74BA"/>
    <w:rsid w:val="008C03F7"/>
    <w:rsid w:val="008C0ECA"/>
    <w:rsid w:val="008C241B"/>
    <w:rsid w:val="008C2AF2"/>
    <w:rsid w:val="008C34C3"/>
    <w:rsid w:val="008C4814"/>
    <w:rsid w:val="008C5607"/>
    <w:rsid w:val="008C6179"/>
    <w:rsid w:val="008C69BF"/>
    <w:rsid w:val="008C742E"/>
    <w:rsid w:val="008C7738"/>
    <w:rsid w:val="008C7B6F"/>
    <w:rsid w:val="008D2154"/>
    <w:rsid w:val="008D4088"/>
    <w:rsid w:val="008D5CA3"/>
    <w:rsid w:val="008D5F8A"/>
    <w:rsid w:val="008D6676"/>
    <w:rsid w:val="008E0020"/>
    <w:rsid w:val="008E0D98"/>
    <w:rsid w:val="008E2426"/>
    <w:rsid w:val="008E26C2"/>
    <w:rsid w:val="008E53A1"/>
    <w:rsid w:val="008E5F32"/>
    <w:rsid w:val="008E7494"/>
    <w:rsid w:val="008E791E"/>
    <w:rsid w:val="008F0099"/>
    <w:rsid w:val="008F04E3"/>
    <w:rsid w:val="008F0918"/>
    <w:rsid w:val="008F18A6"/>
    <w:rsid w:val="008F1B43"/>
    <w:rsid w:val="008F24F1"/>
    <w:rsid w:val="008F2E51"/>
    <w:rsid w:val="008F596B"/>
    <w:rsid w:val="008F627C"/>
    <w:rsid w:val="008F794F"/>
    <w:rsid w:val="00900412"/>
    <w:rsid w:val="00902752"/>
    <w:rsid w:val="0090298E"/>
    <w:rsid w:val="009053AF"/>
    <w:rsid w:val="009055CA"/>
    <w:rsid w:val="009079BB"/>
    <w:rsid w:val="00907B99"/>
    <w:rsid w:val="009116F6"/>
    <w:rsid w:val="00912DE6"/>
    <w:rsid w:val="00913457"/>
    <w:rsid w:val="00915135"/>
    <w:rsid w:val="0091523A"/>
    <w:rsid w:val="0091695D"/>
    <w:rsid w:val="00917D13"/>
    <w:rsid w:val="00920322"/>
    <w:rsid w:val="00923BFF"/>
    <w:rsid w:val="00924651"/>
    <w:rsid w:val="00925E64"/>
    <w:rsid w:val="009277E8"/>
    <w:rsid w:val="00927EE1"/>
    <w:rsid w:val="009308C2"/>
    <w:rsid w:val="009331A0"/>
    <w:rsid w:val="009346D8"/>
    <w:rsid w:val="00935E71"/>
    <w:rsid w:val="009368E5"/>
    <w:rsid w:val="009370A0"/>
    <w:rsid w:val="009417C4"/>
    <w:rsid w:val="0094227B"/>
    <w:rsid w:val="009422DD"/>
    <w:rsid w:val="009429A5"/>
    <w:rsid w:val="0094430F"/>
    <w:rsid w:val="009447F6"/>
    <w:rsid w:val="00944FB4"/>
    <w:rsid w:val="00947193"/>
    <w:rsid w:val="00947FA7"/>
    <w:rsid w:val="009502C1"/>
    <w:rsid w:val="00950940"/>
    <w:rsid w:val="00950C06"/>
    <w:rsid w:val="00950C73"/>
    <w:rsid w:val="00950F22"/>
    <w:rsid w:val="009517DE"/>
    <w:rsid w:val="00951DAF"/>
    <w:rsid w:val="00952C7A"/>
    <w:rsid w:val="00955C1C"/>
    <w:rsid w:val="009563A5"/>
    <w:rsid w:val="00960C5C"/>
    <w:rsid w:val="0096111A"/>
    <w:rsid w:val="00962D1D"/>
    <w:rsid w:val="009631BD"/>
    <w:rsid w:val="0096434A"/>
    <w:rsid w:val="00964E68"/>
    <w:rsid w:val="00965265"/>
    <w:rsid w:val="00965B49"/>
    <w:rsid w:val="00967D9C"/>
    <w:rsid w:val="00970C0D"/>
    <w:rsid w:val="009711BE"/>
    <w:rsid w:val="00971B47"/>
    <w:rsid w:val="00972910"/>
    <w:rsid w:val="00972C2D"/>
    <w:rsid w:val="00973A6D"/>
    <w:rsid w:val="00973B90"/>
    <w:rsid w:val="00973BE8"/>
    <w:rsid w:val="00974193"/>
    <w:rsid w:val="00975905"/>
    <w:rsid w:val="009759D5"/>
    <w:rsid w:val="00980450"/>
    <w:rsid w:val="00980BEA"/>
    <w:rsid w:val="009812E1"/>
    <w:rsid w:val="0098174C"/>
    <w:rsid w:val="00982125"/>
    <w:rsid w:val="00985C74"/>
    <w:rsid w:val="00986A40"/>
    <w:rsid w:val="00987412"/>
    <w:rsid w:val="009910AA"/>
    <w:rsid w:val="00991956"/>
    <w:rsid w:val="009925F0"/>
    <w:rsid w:val="009933DA"/>
    <w:rsid w:val="00995CE1"/>
    <w:rsid w:val="009970DF"/>
    <w:rsid w:val="009A0957"/>
    <w:rsid w:val="009A1076"/>
    <w:rsid w:val="009A1F4D"/>
    <w:rsid w:val="009A2432"/>
    <w:rsid w:val="009A2B5C"/>
    <w:rsid w:val="009A508C"/>
    <w:rsid w:val="009A5DD5"/>
    <w:rsid w:val="009A61B1"/>
    <w:rsid w:val="009A62A8"/>
    <w:rsid w:val="009A7496"/>
    <w:rsid w:val="009B11E0"/>
    <w:rsid w:val="009B2A66"/>
    <w:rsid w:val="009B4745"/>
    <w:rsid w:val="009B4C7A"/>
    <w:rsid w:val="009B6A80"/>
    <w:rsid w:val="009B708A"/>
    <w:rsid w:val="009B7E34"/>
    <w:rsid w:val="009C08B0"/>
    <w:rsid w:val="009C08D5"/>
    <w:rsid w:val="009C0CBC"/>
    <w:rsid w:val="009C14B0"/>
    <w:rsid w:val="009C2684"/>
    <w:rsid w:val="009C57B9"/>
    <w:rsid w:val="009D23A5"/>
    <w:rsid w:val="009D24E0"/>
    <w:rsid w:val="009D2FE0"/>
    <w:rsid w:val="009D37A4"/>
    <w:rsid w:val="009D39D6"/>
    <w:rsid w:val="009D58D7"/>
    <w:rsid w:val="009D60D9"/>
    <w:rsid w:val="009D65E5"/>
    <w:rsid w:val="009D65FB"/>
    <w:rsid w:val="009D71CF"/>
    <w:rsid w:val="009E06E7"/>
    <w:rsid w:val="009E2ABA"/>
    <w:rsid w:val="009E37C9"/>
    <w:rsid w:val="009E434B"/>
    <w:rsid w:val="009E4481"/>
    <w:rsid w:val="009E54C2"/>
    <w:rsid w:val="009E6ED4"/>
    <w:rsid w:val="009F18A1"/>
    <w:rsid w:val="009F1A17"/>
    <w:rsid w:val="009F20FA"/>
    <w:rsid w:val="009F39C4"/>
    <w:rsid w:val="009F4FA5"/>
    <w:rsid w:val="009F5019"/>
    <w:rsid w:val="009F5494"/>
    <w:rsid w:val="009F55B7"/>
    <w:rsid w:val="009F5740"/>
    <w:rsid w:val="009F5FFE"/>
    <w:rsid w:val="00A00F57"/>
    <w:rsid w:val="00A0111E"/>
    <w:rsid w:val="00A01C99"/>
    <w:rsid w:val="00A0207B"/>
    <w:rsid w:val="00A020F1"/>
    <w:rsid w:val="00A033C0"/>
    <w:rsid w:val="00A03CA0"/>
    <w:rsid w:val="00A03D14"/>
    <w:rsid w:val="00A04651"/>
    <w:rsid w:val="00A05C7D"/>
    <w:rsid w:val="00A06162"/>
    <w:rsid w:val="00A06FB6"/>
    <w:rsid w:val="00A10C08"/>
    <w:rsid w:val="00A10FBE"/>
    <w:rsid w:val="00A11E67"/>
    <w:rsid w:val="00A1262B"/>
    <w:rsid w:val="00A12992"/>
    <w:rsid w:val="00A140BD"/>
    <w:rsid w:val="00A14CB7"/>
    <w:rsid w:val="00A14E1F"/>
    <w:rsid w:val="00A15943"/>
    <w:rsid w:val="00A15A56"/>
    <w:rsid w:val="00A15F70"/>
    <w:rsid w:val="00A16AEF"/>
    <w:rsid w:val="00A17A0D"/>
    <w:rsid w:val="00A200C6"/>
    <w:rsid w:val="00A209AA"/>
    <w:rsid w:val="00A2479E"/>
    <w:rsid w:val="00A24828"/>
    <w:rsid w:val="00A24AF3"/>
    <w:rsid w:val="00A24E55"/>
    <w:rsid w:val="00A253F5"/>
    <w:rsid w:val="00A26B18"/>
    <w:rsid w:val="00A26D56"/>
    <w:rsid w:val="00A2777D"/>
    <w:rsid w:val="00A27872"/>
    <w:rsid w:val="00A30019"/>
    <w:rsid w:val="00A30866"/>
    <w:rsid w:val="00A308E5"/>
    <w:rsid w:val="00A30A18"/>
    <w:rsid w:val="00A31775"/>
    <w:rsid w:val="00A323A2"/>
    <w:rsid w:val="00A32B28"/>
    <w:rsid w:val="00A32E2E"/>
    <w:rsid w:val="00A3365C"/>
    <w:rsid w:val="00A33908"/>
    <w:rsid w:val="00A350AC"/>
    <w:rsid w:val="00A354AC"/>
    <w:rsid w:val="00A3587E"/>
    <w:rsid w:val="00A35B1F"/>
    <w:rsid w:val="00A40613"/>
    <w:rsid w:val="00A414E7"/>
    <w:rsid w:val="00A41550"/>
    <w:rsid w:val="00A4235C"/>
    <w:rsid w:val="00A43B62"/>
    <w:rsid w:val="00A45997"/>
    <w:rsid w:val="00A45C41"/>
    <w:rsid w:val="00A45F24"/>
    <w:rsid w:val="00A46D49"/>
    <w:rsid w:val="00A479E1"/>
    <w:rsid w:val="00A47DC8"/>
    <w:rsid w:val="00A47E0B"/>
    <w:rsid w:val="00A47F4D"/>
    <w:rsid w:val="00A51A9A"/>
    <w:rsid w:val="00A54935"/>
    <w:rsid w:val="00A56153"/>
    <w:rsid w:val="00A56F2F"/>
    <w:rsid w:val="00A57DA5"/>
    <w:rsid w:val="00A57F93"/>
    <w:rsid w:val="00A61CBB"/>
    <w:rsid w:val="00A61FAB"/>
    <w:rsid w:val="00A61FEE"/>
    <w:rsid w:val="00A62298"/>
    <w:rsid w:val="00A643C6"/>
    <w:rsid w:val="00A645DB"/>
    <w:rsid w:val="00A64773"/>
    <w:rsid w:val="00A64E48"/>
    <w:rsid w:val="00A65CBE"/>
    <w:rsid w:val="00A6650C"/>
    <w:rsid w:val="00A67D0E"/>
    <w:rsid w:val="00A7178B"/>
    <w:rsid w:val="00A72F77"/>
    <w:rsid w:val="00A738E3"/>
    <w:rsid w:val="00A743B0"/>
    <w:rsid w:val="00A801C9"/>
    <w:rsid w:val="00A81A80"/>
    <w:rsid w:val="00A81C37"/>
    <w:rsid w:val="00A81CCD"/>
    <w:rsid w:val="00A843D3"/>
    <w:rsid w:val="00A90782"/>
    <w:rsid w:val="00A90BA9"/>
    <w:rsid w:val="00A90C22"/>
    <w:rsid w:val="00A90CE0"/>
    <w:rsid w:val="00A90E52"/>
    <w:rsid w:val="00A93FFA"/>
    <w:rsid w:val="00A94CAA"/>
    <w:rsid w:val="00A965AC"/>
    <w:rsid w:val="00A96AE9"/>
    <w:rsid w:val="00AA03AA"/>
    <w:rsid w:val="00AA06CD"/>
    <w:rsid w:val="00AA0703"/>
    <w:rsid w:val="00AA1731"/>
    <w:rsid w:val="00AA17A4"/>
    <w:rsid w:val="00AA4B06"/>
    <w:rsid w:val="00AA4D97"/>
    <w:rsid w:val="00AA5E6E"/>
    <w:rsid w:val="00AA730D"/>
    <w:rsid w:val="00AB010D"/>
    <w:rsid w:val="00AB1552"/>
    <w:rsid w:val="00AB18CD"/>
    <w:rsid w:val="00AB2C26"/>
    <w:rsid w:val="00AB3F7F"/>
    <w:rsid w:val="00AB4609"/>
    <w:rsid w:val="00AB5A2A"/>
    <w:rsid w:val="00AB763B"/>
    <w:rsid w:val="00AB769D"/>
    <w:rsid w:val="00AB7C54"/>
    <w:rsid w:val="00AC0ADB"/>
    <w:rsid w:val="00AC5227"/>
    <w:rsid w:val="00AC6B13"/>
    <w:rsid w:val="00AC7EFB"/>
    <w:rsid w:val="00AD03B4"/>
    <w:rsid w:val="00AD26E2"/>
    <w:rsid w:val="00AD301B"/>
    <w:rsid w:val="00AD3C6A"/>
    <w:rsid w:val="00AD41E6"/>
    <w:rsid w:val="00AD45D6"/>
    <w:rsid w:val="00AD46B2"/>
    <w:rsid w:val="00AD486A"/>
    <w:rsid w:val="00AD4B0E"/>
    <w:rsid w:val="00AD5C56"/>
    <w:rsid w:val="00AD5F33"/>
    <w:rsid w:val="00AD60EB"/>
    <w:rsid w:val="00AD6692"/>
    <w:rsid w:val="00AE07C3"/>
    <w:rsid w:val="00AE1CF0"/>
    <w:rsid w:val="00AE31E5"/>
    <w:rsid w:val="00AE3BA3"/>
    <w:rsid w:val="00AE4197"/>
    <w:rsid w:val="00AE430F"/>
    <w:rsid w:val="00AE4310"/>
    <w:rsid w:val="00AE51D8"/>
    <w:rsid w:val="00AE6860"/>
    <w:rsid w:val="00AE7935"/>
    <w:rsid w:val="00AF3A5D"/>
    <w:rsid w:val="00AF3ED0"/>
    <w:rsid w:val="00AF68EF"/>
    <w:rsid w:val="00AF6ADD"/>
    <w:rsid w:val="00AF76AD"/>
    <w:rsid w:val="00B049E7"/>
    <w:rsid w:val="00B05E59"/>
    <w:rsid w:val="00B06716"/>
    <w:rsid w:val="00B108CF"/>
    <w:rsid w:val="00B10BA6"/>
    <w:rsid w:val="00B10BF9"/>
    <w:rsid w:val="00B1314E"/>
    <w:rsid w:val="00B140DE"/>
    <w:rsid w:val="00B14472"/>
    <w:rsid w:val="00B14D62"/>
    <w:rsid w:val="00B1658D"/>
    <w:rsid w:val="00B17757"/>
    <w:rsid w:val="00B17D0B"/>
    <w:rsid w:val="00B17DE4"/>
    <w:rsid w:val="00B21979"/>
    <w:rsid w:val="00B22708"/>
    <w:rsid w:val="00B2438B"/>
    <w:rsid w:val="00B25204"/>
    <w:rsid w:val="00B266CB"/>
    <w:rsid w:val="00B30905"/>
    <w:rsid w:val="00B30DB2"/>
    <w:rsid w:val="00B30F35"/>
    <w:rsid w:val="00B31B39"/>
    <w:rsid w:val="00B34692"/>
    <w:rsid w:val="00B35C19"/>
    <w:rsid w:val="00B377B5"/>
    <w:rsid w:val="00B378BD"/>
    <w:rsid w:val="00B37AE4"/>
    <w:rsid w:val="00B400F4"/>
    <w:rsid w:val="00B403FD"/>
    <w:rsid w:val="00B405E6"/>
    <w:rsid w:val="00B417AF"/>
    <w:rsid w:val="00B43743"/>
    <w:rsid w:val="00B447F8"/>
    <w:rsid w:val="00B45A20"/>
    <w:rsid w:val="00B46403"/>
    <w:rsid w:val="00B466ED"/>
    <w:rsid w:val="00B46D21"/>
    <w:rsid w:val="00B46D7E"/>
    <w:rsid w:val="00B51110"/>
    <w:rsid w:val="00B52BE6"/>
    <w:rsid w:val="00B53071"/>
    <w:rsid w:val="00B537D9"/>
    <w:rsid w:val="00B53AA0"/>
    <w:rsid w:val="00B55936"/>
    <w:rsid w:val="00B56764"/>
    <w:rsid w:val="00B575D1"/>
    <w:rsid w:val="00B57642"/>
    <w:rsid w:val="00B60F62"/>
    <w:rsid w:val="00B61D86"/>
    <w:rsid w:val="00B62066"/>
    <w:rsid w:val="00B62EAB"/>
    <w:rsid w:val="00B6464B"/>
    <w:rsid w:val="00B646F1"/>
    <w:rsid w:val="00B64DC4"/>
    <w:rsid w:val="00B64FA0"/>
    <w:rsid w:val="00B650F8"/>
    <w:rsid w:val="00B653E7"/>
    <w:rsid w:val="00B65D94"/>
    <w:rsid w:val="00B66AA0"/>
    <w:rsid w:val="00B67DB8"/>
    <w:rsid w:val="00B7202A"/>
    <w:rsid w:val="00B7280D"/>
    <w:rsid w:val="00B73710"/>
    <w:rsid w:val="00B74614"/>
    <w:rsid w:val="00B75B3D"/>
    <w:rsid w:val="00B75D20"/>
    <w:rsid w:val="00B77D54"/>
    <w:rsid w:val="00B8224E"/>
    <w:rsid w:val="00B82424"/>
    <w:rsid w:val="00B84569"/>
    <w:rsid w:val="00B8517F"/>
    <w:rsid w:val="00B85725"/>
    <w:rsid w:val="00B87B40"/>
    <w:rsid w:val="00B87C39"/>
    <w:rsid w:val="00B91303"/>
    <w:rsid w:val="00B9229A"/>
    <w:rsid w:val="00B9314C"/>
    <w:rsid w:val="00B93DB7"/>
    <w:rsid w:val="00B93FC3"/>
    <w:rsid w:val="00B95F75"/>
    <w:rsid w:val="00B96684"/>
    <w:rsid w:val="00B979FE"/>
    <w:rsid w:val="00B97AF2"/>
    <w:rsid w:val="00BA0161"/>
    <w:rsid w:val="00BA10ED"/>
    <w:rsid w:val="00BA21A3"/>
    <w:rsid w:val="00BA2370"/>
    <w:rsid w:val="00BA25FA"/>
    <w:rsid w:val="00BA307B"/>
    <w:rsid w:val="00BA3238"/>
    <w:rsid w:val="00BA3703"/>
    <w:rsid w:val="00BA49BC"/>
    <w:rsid w:val="00BA49D2"/>
    <w:rsid w:val="00BA4A81"/>
    <w:rsid w:val="00BA50B7"/>
    <w:rsid w:val="00BA52DF"/>
    <w:rsid w:val="00BA6098"/>
    <w:rsid w:val="00BA6E95"/>
    <w:rsid w:val="00BA6F64"/>
    <w:rsid w:val="00BA71C2"/>
    <w:rsid w:val="00BB03A3"/>
    <w:rsid w:val="00BB0677"/>
    <w:rsid w:val="00BB088B"/>
    <w:rsid w:val="00BB0E0B"/>
    <w:rsid w:val="00BB1999"/>
    <w:rsid w:val="00BB2B59"/>
    <w:rsid w:val="00BB2C8B"/>
    <w:rsid w:val="00BB3B07"/>
    <w:rsid w:val="00BB4CFF"/>
    <w:rsid w:val="00BB5267"/>
    <w:rsid w:val="00BB5A02"/>
    <w:rsid w:val="00BB5C0D"/>
    <w:rsid w:val="00BB6CB1"/>
    <w:rsid w:val="00BB7670"/>
    <w:rsid w:val="00BC0065"/>
    <w:rsid w:val="00BC0F96"/>
    <w:rsid w:val="00BC1379"/>
    <w:rsid w:val="00BC2626"/>
    <w:rsid w:val="00BC3C8B"/>
    <w:rsid w:val="00BC3E4B"/>
    <w:rsid w:val="00BC5032"/>
    <w:rsid w:val="00BC591B"/>
    <w:rsid w:val="00BC5CB0"/>
    <w:rsid w:val="00BC686B"/>
    <w:rsid w:val="00BC74C8"/>
    <w:rsid w:val="00BC762E"/>
    <w:rsid w:val="00BC7A3B"/>
    <w:rsid w:val="00BD0A00"/>
    <w:rsid w:val="00BD3020"/>
    <w:rsid w:val="00BD3C80"/>
    <w:rsid w:val="00BD4D8E"/>
    <w:rsid w:val="00BD7204"/>
    <w:rsid w:val="00BD7E3F"/>
    <w:rsid w:val="00BE00B2"/>
    <w:rsid w:val="00BE0C1B"/>
    <w:rsid w:val="00BE1C08"/>
    <w:rsid w:val="00BE1F87"/>
    <w:rsid w:val="00BE3114"/>
    <w:rsid w:val="00BE4331"/>
    <w:rsid w:val="00BE4F19"/>
    <w:rsid w:val="00BE54D2"/>
    <w:rsid w:val="00BE557F"/>
    <w:rsid w:val="00BE56C1"/>
    <w:rsid w:val="00BE6049"/>
    <w:rsid w:val="00BF01F4"/>
    <w:rsid w:val="00BF11E6"/>
    <w:rsid w:val="00BF1A14"/>
    <w:rsid w:val="00BF1E51"/>
    <w:rsid w:val="00BF2D33"/>
    <w:rsid w:val="00BF44A4"/>
    <w:rsid w:val="00BF4A17"/>
    <w:rsid w:val="00BF779E"/>
    <w:rsid w:val="00C00881"/>
    <w:rsid w:val="00C01B81"/>
    <w:rsid w:val="00C023FF"/>
    <w:rsid w:val="00C0245A"/>
    <w:rsid w:val="00C03004"/>
    <w:rsid w:val="00C03E61"/>
    <w:rsid w:val="00C04388"/>
    <w:rsid w:val="00C055BA"/>
    <w:rsid w:val="00C066FC"/>
    <w:rsid w:val="00C07830"/>
    <w:rsid w:val="00C1009F"/>
    <w:rsid w:val="00C10295"/>
    <w:rsid w:val="00C13B2E"/>
    <w:rsid w:val="00C16672"/>
    <w:rsid w:val="00C17320"/>
    <w:rsid w:val="00C20695"/>
    <w:rsid w:val="00C20E00"/>
    <w:rsid w:val="00C21BFD"/>
    <w:rsid w:val="00C21FE9"/>
    <w:rsid w:val="00C226C7"/>
    <w:rsid w:val="00C23128"/>
    <w:rsid w:val="00C24779"/>
    <w:rsid w:val="00C27F63"/>
    <w:rsid w:val="00C31186"/>
    <w:rsid w:val="00C31FAD"/>
    <w:rsid w:val="00C31FC2"/>
    <w:rsid w:val="00C324F8"/>
    <w:rsid w:val="00C32BED"/>
    <w:rsid w:val="00C331BC"/>
    <w:rsid w:val="00C33830"/>
    <w:rsid w:val="00C33BA2"/>
    <w:rsid w:val="00C33BE6"/>
    <w:rsid w:val="00C33D11"/>
    <w:rsid w:val="00C34634"/>
    <w:rsid w:val="00C348BD"/>
    <w:rsid w:val="00C3507C"/>
    <w:rsid w:val="00C35C17"/>
    <w:rsid w:val="00C37E8A"/>
    <w:rsid w:val="00C4052A"/>
    <w:rsid w:val="00C4090B"/>
    <w:rsid w:val="00C424FD"/>
    <w:rsid w:val="00C434CA"/>
    <w:rsid w:val="00C439E4"/>
    <w:rsid w:val="00C43AA7"/>
    <w:rsid w:val="00C443EE"/>
    <w:rsid w:val="00C452FF"/>
    <w:rsid w:val="00C45718"/>
    <w:rsid w:val="00C45F2E"/>
    <w:rsid w:val="00C47054"/>
    <w:rsid w:val="00C47332"/>
    <w:rsid w:val="00C510C2"/>
    <w:rsid w:val="00C510EB"/>
    <w:rsid w:val="00C51EBF"/>
    <w:rsid w:val="00C52754"/>
    <w:rsid w:val="00C52E99"/>
    <w:rsid w:val="00C5402F"/>
    <w:rsid w:val="00C55ED2"/>
    <w:rsid w:val="00C5701F"/>
    <w:rsid w:val="00C57228"/>
    <w:rsid w:val="00C60026"/>
    <w:rsid w:val="00C62E02"/>
    <w:rsid w:val="00C62E39"/>
    <w:rsid w:val="00C63C55"/>
    <w:rsid w:val="00C65F9F"/>
    <w:rsid w:val="00C66E1E"/>
    <w:rsid w:val="00C6703F"/>
    <w:rsid w:val="00C679B0"/>
    <w:rsid w:val="00C67A63"/>
    <w:rsid w:val="00C7458A"/>
    <w:rsid w:val="00C745EE"/>
    <w:rsid w:val="00C749F0"/>
    <w:rsid w:val="00C74A2F"/>
    <w:rsid w:val="00C74CA7"/>
    <w:rsid w:val="00C75219"/>
    <w:rsid w:val="00C76015"/>
    <w:rsid w:val="00C764D8"/>
    <w:rsid w:val="00C77701"/>
    <w:rsid w:val="00C77F14"/>
    <w:rsid w:val="00C82C2D"/>
    <w:rsid w:val="00C83124"/>
    <w:rsid w:val="00C83E3D"/>
    <w:rsid w:val="00C84512"/>
    <w:rsid w:val="00C847F5"/>
    <w:rsid w:val="00C85DBB"/>
    <w:rsid w:val="00C863B0"/>
    <w:rsid w:val="00C867F4"/>
    <w:rsid w:val="00C86CFA"/>
    <w:rsid w:val="00C87691"/>
    <w:rsid w:val="00C90B12"/>
    <w:rsid w:val="00C91374"/>
    <w:rsid w:val="00C916D1"/>
    <w:rsid w:val="00C92D40"/>
    <w:rsid w:val="00C9378F"/>
    <w:rsid w:val="00C93A68"/>
    <w:rsid w:val="00C93F12"/>
    <w:rsid w:val="00C95A17"/>
    <w:rsid w:val="00C95A63"/>
    <w:rsid w:val="00C96247"/>
    <w:rsid w:val="00C9643A"/>
    <w:rsid w:val="00C96996"/>
    <w:rsid w:val="00C979AC"/>
    <w:rsid w:val="00CA0281"/>
    <w:rsid w:val="00CA14F0"/>
    <w:rsid w:val="00CA2456"/>
    <w:rsid w:val="00CA2A2A"/>
    <w:rsid w:val="00CA3068"/>
    <w:rsid w:val="00CA3EA7"/>
    <w:rsid w:val="00CA7ED8"/>
    <w:rsid w:val="00CA7F66"/>
    <w:rsid w:val="00CB0490"/>
    <w:rsid w:val="00CB0784"/>
    <w:rsid w:val="00CB0AF9"/>
    <w:rsid w:val="00CB12A8"/>
    <w:rsid w:val="00CB2B89"/>
    <w:rsid w:val="00CB38C8"/>
    <w:rsid w:val="00CB56BA"/>
    <w:rsid w:val="00CB62E5"/>
    <w:rsid w:val="00CC00D6"/>
    <w:rsid w:val="00CC020E"/>
    <w:rsid w:val="00CC092A"/>
    <w:rsid w:val="00CC13E4"/>
    <w:rsid w:val="00CC2069"/>
    <w:rsid w:val="00CC242F"/>
    <w:rsid w:val="00CC3EC2"/>
    <w:rsid w:val="00CC43A3"/>
    <w:rsid w:val="00CC6283"/>
    <w:rsid w:val="00CC6293"/>
    <w:rsid w:val="00CC6671"/>
    <w:rsid w:val="00CC70DD"/>
    <w:rsid w:val="00CD0FAB"/>
    <w:rsid w:val="00CD18EB"/>
    <w:rsid w:val="00CD243E"/>
    <w:rsid w:val="00CD3501"/>
    <w:rsid w:val="00CD4B71"/>
    <w:rsid w:val="00CD4CA8"/>
    <w:rsid w:val="00CD552C"/>
    <w:rsid w:val="00CE017A"/>
    <w:rsid w:val="00CE0F10"/>
    <w:rsid w:val="00CE141B"/>
    <w:rsid w:val="00CE1F1C"/>
    <w:rsid w:val="00CE1F89"/>
    <w:rsid w:val="00CE28AE"/>
    <w:rsid w:val="00CE453D"/>
    <w:rsid w:val="00CE55F5"/>
    <w:rsid w:val="00CE56EF"/>
    <w:rsid w:val="00CE6371"/>
    <w:rsid w:val="00CE6AE5"/>
    <w:rsid w:val="00CF0B1C"/>
    <w:rsid w:val="00CF27DF"/>
    <w:rsid w:val="00CF2BB7"/>
    <w:rsid w:val="00CF31E9"/>
    <w:rsid w:val="00CF68A1"/>
    <w:rsid w:val="00D00228"/>
    <w:rsid w:val="00D002D7"/>
    <w:rsid w:val="00D01807"/>
    <w:rsid w:val="00D029E3"/>
    <w:rsid w:val="00D02CDE"/>
    <w:rsid w:val="00D03D34"/>
    <w:rsid w:val="00D0458D"/>
    <w:rsid w:val="00D04A0C"/>
    <w:rsid w:val="00D0503F"/>
    <w:rsid w:val="00D0570D"/>
    <w:rsid w:val="00D0589B"/>
    <w:rsid w:val="00D0771A"/>
    <w:rsid w:val="00D07823"/>
    <w:rsid w:val="00D104CC"/>
    <w:rsid w:val="00D1146C"/>
    <w:rsid w:val="00D12A4E"/>
    <w:rsid w:val="00D15FD1"/>
    <w:rsid w:val="00D16EF5"/>
    <w:rsid w:val="00D17F7A"/>
    <w:rsid w:val="00D22C59"/>
    <w:rsid w:val="00D234BB"/>
    <w:rsid w:val="00D23D92"/>
    <w:rsid w:val="00D24406"/>
    <w:rsid w:val="00D26086"/>
    <w:rsid w:val="00D2691A"/>
    <w:rsid w:val="00D2770C"/>
    <w:rsid w:val="00D312DC"/>
    <w:rsid w:val="00D3134E"/>
    <w:rsid w:val="00D31C68"/>
    <w:rsid w:val="00D31CD2"/>
    <w:rsid w:val="00D32D02"/>
    <w:rsid w:val="00D33309"/>
    <w:rsid w:val="00D372BB"/>
    <w:rsid w:val="00D37A60"/>
    <w:rsid w:val="00D37DDD"/>
    <w:rsid w:val="00D400B1"/>
    <w:rsid w:val="00D41528"/>
    <w:rsid w:val="00D42472"/>
    <w:rsid w:val="00D43728"/>
    <w:rsid w:val="00D43B1F"/>
    <w:rsid w:val="00D453E0"/>
    <w:rsid w:val="00D45D64"/>
    <w:rsid w:val="00D469B6"/>
    <w:rsid w:val="00D4705C"/>
    <w:rsid w:val="00D47E03"/>
    <w:rsid w:val="00D50035"/>
    <w:rsid w:val="00D5231C"/>
    <w:rsid w:val="00D5303F"/>
    <w:rsid w:val="00D5360E"/>
    <w:rsid w:val="00D53617"/>
    <w:rsid w:val="00D53B16"/>
    <w:rsid w:val="00D53B6D"/>
    <w:rsid w:val="00D55A5F"/>
    <w:rsid w:val="00D55C91"/>
    <w:rsid w:val="00D565AF"/>
    <w:rsid w:val="00D56755"/>
    <w:rsid w:val="00D57B42"/>
    <w:rsid w:val="00D60419"/>
    <w:rsid w:val="00D61AF2"/>
    <w:rsid w:val="00D622B3"/>
    <w:rsid w:val="00D637F3"/>
    <w:rsid w:val="00D64B7E"/>
    <w:rsid w:val="00D65D68"/>
    <w:rsid w:val="00D65E01"/>
    <w:rsid w:val="00D66240"/>
    <w:rsid w:val="00D6683C"/>
    <w:rsid w:val="00D67843"/>
    <w:rsid w:val="00D67D51"/>
    <w:rsid w:val="00D70B7B"/>
    <w:rsid w:val="00D71147"/>
    <w:rsid w:val="00D72240"/>
    <w:rsid w:val="00D74356"/>
    <w:rsid w:val="00D74A97"/>
    <w:rsid w:val="00D74C83"/>
    <w:rsid w:val="00D75243"/>
    <w:rsid w:val="00D758E1"/>
    <w:rsid w:val="00D75EC2"/>
    <w:rsid w:val="00D82C0D"/>
    <w:rsid w:val="00D84140"/>
    <w:rsid w:val="00D84D89"/>
    <w:rsid w:val="00D84E84"/>
    <w:rsid w:val="00D85A42"/>
    <w:rsid w:val="00D9042C"/>
    <w:rsid w:val="00D9141C"/>
    <w:rsid w:val="00D91FE6"/>
    <w:rsid w:val="00D9365A"/>
    <w:rsid w:val="00D94AE5"/>
    <w:rsid w:val="00D9508C"/>
    <w:rsid w:val="00D95121"/>
    <w:rsid w:val="00D9519E"/>
    <w:rsid w:val="00D95C99"/>
    <w:rsid w:val="00D96128"/>
    <w:rsid w:val="00D96284"/>
    <w:rsid w:val="00D963EC"/>
    <w:rsid w:val="00D97CCC"/>
    <w:rsid w:val="00DA01C9"/>
    <w:rsid w:val="00DA3031"/>
    <w:rsid w:val="00DA43DC"/>
    <w:rsid w:val="00DA4E9D"/>
    <w:rsid w:val="00DA5597"/>
    <w:rsid w:val="00DA6D06"/>
    <w:rsid w:val="00DA7A1F"/>
    <w:rsid w:val="00DA7CAD"/>
    <w:rsid w:val="00DB03A3"/>
    <w:rsid w:val="00DB1C62"/>
    <w:rsid w:val="00DB3AE2"/>
    <w:rsid w:val="00DB4221"/>
    <w:rsid w:val="00DB45BA"/>
    <w:rsid w:val="00DB5539"/>
    <w:rsid w:val="00DB6479"/>
    <w:rsid w:val="00DB6EF0"/>
    <w:rsid w:val="00DB70E3"/>
    <w:rsid w:val="00DB7953"/>
    <w:rsid w:val="00DC0BAB"/>
    <w:rsid w:val="00DC1414"/>
    <w:rsid w:val="00DC2709"/>
    <w:rsid w:val="00DC3A96"/>
    <w:rsid w:val="00DC3DF5"/>
    <w:rsid w:val="00DC486D"/>
    <w:rsid w:val="00DC56AC"/>
    <w:rsid w:val="00DC6401"/>
    <w:rsid w:val="00DC6883"/>
    <w:rsid w:val="00DC715B"/>
    <w:rsid w:val="00DC71B8"/>
    <w:rsid w:val="00DC788F"/>
    <w:rsid w:val="00DD0745"/>
    <w:rsid w:val="00DD28BB"/>
    <w:rsid w:val="00DD2971"/>
    <w:rsid w:val="00DD3B1C"/>
    <w:rsid w:val="00DD3B6E"/>
    <w:rsid w:val="00DD43D0"/>
    <w:rsid w:val="00DD496A"/>
    <w:rsid w:val="00DD55FF"/>
    <w:rsid w:val="00DD5922"/>
    <w:rsid w:val="00DD5D83"/>
    <w:rsid w:val="00DD64B9"/>
    <w:rsid w:val="00DD7319"/>
    <w:rsid w:val="00DD7BE3"/>
    <w:rsid w:val="00DE025F"/>
    <w:rsid w:val="00DE0538"/>
    <w:rsid w:val="00DE0F98"/>
    <w:rsid w:val="00DE2329"/>
    <w:rsid w:val="00DE2EC7"/>
    <w:rsid w:val="00DE4316"/>
    <w:rsid w:val="00DE45AC"/>
    <w:rsid w:val="00DE5C11"/>
    <w:rsid w:val="00DE71B7"/>
    <w:rsid w:val="00DE7FAD"/>
    <w:rsid w:val="00DF1C11"/>
    <w:rsid w:val="00DF1C5D"/>
    <w:rsid w:val="00DF2019"/>
    <w:rsid w:val="00DF23AE"/>
    <w:rsid w:val="00DF3DF5"/>
    <w:rsid w:val="00DF445B"/>
    <w:rsid w:val="00DF5BD5"/>
    <w:rsid w:val="00DF782F"/>
    <w:rsid w:val="00E00516"/>
    <w:rsid w:val="00E00C70"/>
    <w:rsid w:val="00E00F77"/>
    <w:rsid w:val="00E01C6E"/>
    <w:rsid w:val="00E020F3"/>
    <w:rsid w:val="00E036C4"/>
    <w:rsid w:val="00E0418E"/>
    <w:rsid w:val="00E05F60"/>
    <w:rsid w:val="00E06C78"/>
    <w:rsid w:val="00E10081"/>
    <w:rsid w:val="00E101A4"/>
    <w:rsid w:val="00E10AF5"/>
    <w:rsid w:val="00E10FCF"/>
    <w:rsid w:val="00E1180C"/>
    <w:rsid w:val="00E119D3"/>
    <w:rsid w:val="00E1212C"/>
    <w:rsid w:val="00E122D3"/>
    <w:rsid w:val="00E12A89"/>
    <w:rsid w:val="00E13C42"/>
    <w:rsid w:val="00E1522F"/>
    <w:rsid w:val="00E15BAE"/>
    <w:rsid w:val="00E1699C"/>
    <w:rsid w:val="00E174A6"/>
    <w:rsid w:val="00E21AAD"/>
    <w:rsid w:val="00E21AC7"/>
    <w:rsid w:val="00E22F93"/>
    <w:rsid w:val="00E23DF5"/>
    <w:rsid w:val="00E25106"/>
    <w:rsid w:val="00E27D2C"/>
    <w:rsid w:val="00E30AEA"/>
    <w:rsid w:val="00E30C6F"/>
    <w:rsid w:val="00E30D10"/>
    <w:rsid w:val="00E30E18"/>
    <w:rsid w:val="00E32097"/>
    <w:rsid w:val="00E32E7B"/>
    <w:rsid w:val="00E334BC"/>
    <w:rsid w:val="00E35DD5"/>
    <w:rsid w:val="00E36BAB"/>
    <w:rsid w:val="00E36D4A"/>
    <w:rsid w:val="00E370CE"/>
    <w:rsid w:val="00E40D96"/>
    <w:rsid w:val="00E40EA3"/>
    <w:rsid w:val="00E411AC"/>
    <w:rsid w:val="00E4238F"/>
    <w:rsid w:val="00E42D60"/>
    <w:rsid w:val="00E45058"/>
    <w:rsid w:val="00E45EEB"/>
    <w:rsid w:val="00E468E6"/>
    <w:rsid w:val="00E46E76"/>
    <w:rsid w:val="00E47976"/>
    <w:rsid w:val="00E47BAC"/>
    <w:rsid w:val="00E5000B"/>
    <w:rsid w:val="00E503A1"/>
    <w:rsid w:val="00E51724"/>
    <w:rsid w:val="00E52983"/>
    <w:rsid w:val="00E53408"/>
    <w:rsid w:val="00E550E8"/>
    <w:rsid w:val="00E55E81"/>
    <w:rsid w:val="00E57168"/>
    <w:rsid w:val="00E5767D"/>
    <w:rsid w:val="00E601C2"/>
    <w:rsid w:val="00E60A23"/>
    <w:rsid w:val="00E61C8F"/>
    <w:rsid w:val="00E620FB"/>
    <w:rsid w:val="00E62732"/>
    <w:rsid w:val="00E62951"/>
    <w:rsid w:val="00E62D8A"/>
    <w:rsid w:val="00E62DCA"/>
    <w:rsid w:val="00E65B2E"/>
    <w:rsid w:val="00E66DE5"/>
    <w:rsid w:val="00E6723F"/>
    <w:rsid w:val="00E674F2"/>
    <w:rsid w:val="00E70304"/>
    <w:rsid w:val="00E70AB8"/>
    <w:rsid w:val="00E72321"/>
    <w:rsid w:val="00E7332F"/>
    <w:rsid w:val="00E73D54"/>
    <w:rsid w:val="00E744DB"/>
    <w:rsid w:val="00E75158"/>
    <w:rsid w:val="00E76973"/>
    <w:rsid w:val="00E81AB4"/>
    <w:rsid w:val="00E81B12"/>
    <w:rsid w:val="00E82170"/>
    <w:rsid w:val="00E82AEC"/>
    <w:rsid w:val="00E830FC"/>
    <w:rsid w:val="00E8335E"/>
    <w:rsid w:val="00E8389A"/>
    <w:rsid w:val="00E83BBD"/>
    <w:rsid w:val="00E91447"/>
    <w:rsid w:val="00E91E72"/>
    <w:rsid w:val="00E92285"/>
    <w:rsid w:val="00E948BA"/>
    <w:rsid w:val="00E955B3"/>
    <w:rsid w:val="00E95B53"/>
    <w:rsid w:val="00E95CA7"/>
    <w:rsid w:val="00EA0C09"/>
    <w:rsid w:val="00EA10CA"/>
    <w:rsid w:val="00EA11B4"/>
    <w:rsid w:val="00EA240F"/>
    <w:rsid w:val="00EA285F"/>
    <w:rsid w:val="00EA32BA"/>
    <w:rsid w:val="00EA3F40"/>
    <w:rsid w:val="00EA492D"/>
    <w:rsid w:val="00EA4BE2"/>
    <w:rsid w:val="00EA533B"/>
    <w:rsid w:val="00EA675D"/>
    <w:rsid w:val="00EB1083"/>
    <w:rsid w:val="00EB1BF1"/>
    <w:rsid w:val="00EB3871"/>
    <w:rsid w:val="00EB4CB6"/>
    <w:rsid w:val="00EC0A12"/>
    <w:rsid w:val="00EC0A23"/>
    <w:rsid w:val="00EC5350"/>
    <w:rsid w:val="00EC6710"/>
    <w:rsid w:val="00EC6BE3"/>
    <w:rsid w:val="00EC74ED"/>
    <w:rsid w:val="00EC75D8"/>
    <w:rsid w:val="00ED21EB"/>
    <w:rsid w:val="00ED22E5"/>
    <w:rsid w:val="00ED29FB"/>
    <w:rsid w:val="00ED315F"/>
    <w:rsid w:val="00ED37E8"/>
    <w:rsid w:val="00ED6BD3"/>
    <w:rsid w:val="00ED702F"/>
    <w:rsid w:val="00EE0304"/>
    <w:rsid w:val="00EE2D0C"/>
    <w:rsid w:val="00EE3703"/>
    <w:rsid w:val="00EE384C"/>
    <w:rsid w:val="00EE3B4E"/>
    <w:rsid w:val="00EE71D8"/>
    <w:rsid w:val="00EE7A91"/>
    <w:rsid w:val="00EF18C2"/>
    <w:rsid w:val="00EF1E9C"/>
    <w:rsid w:val="00EF2B0E"/>
    <w:rsid w:val="00EF3D47"/>
    <w:rsid w:val="00EF4967"/>
    <w:rsid w:val="00EF6FC4"/>
    <w:rsid w:val="00EF77CC"/>
    <w:rsid w:val="00EF7FA5"/>
    <w:rsid w:val="00F00BA7"/>
    <w:rsid w:val="00F01638"/>
    <w:rsid w:val="00F022E2"/>
    <w:rsid w:val="00F03463"/>
    <w:rsid w:val="00F0465F"/>
    <w:rsid w:val="00F065C6"/>
    <w:rsid w:val="00F07E76"/>
    <w:rsid w:val="00F107A6"/>
    <w:rsid w:val="00F10AF7"/>
    <w:rsid w:val="00F10B0C"/>
    <w:rsid w:val="00F13DCD"/>
    <w:rsid w:val="00F14D31"/>
    <w:rsid w:val="00F15010"/>
    <w:rsid w:val="00F151C2"/>
    <w:rsid w:val="00F15661"/>
    <w:rsid w:val="00F15853"/>
    <w:rsid w:val="00F1588C"/>
    <w:rsid w:val="00F164A3"/>
    <w:rsid w:val="00F17910"/>
    <w:rsid w:val="00F20477"/>
    <w:rsid w:val="00F20E4A"/>
    <w:rsid w:val="00F20F83"/>
    <w:rsid w:val="00F23C9B"/>
    <w:rsid w:val="00F24E9C"/>
    <w:rsid w:val="00F26AFF"/>
    <w:rsid w:val="00F272B3"/>
    <w:rsid w:val="00F27A7A"/>
    <w:rsid w:val="00F33FB8"/>
    <w:rsid w:val="00F34CD9"/>
    <w:rsid w:val="00F36815"/>
    <w:rsid w:val="00F36EDE"/>
    <w:rsid w:val="00F40176"/>
    <w:rsid w:val="00F40E43"/>
    <w:rsid w:val="00F41E69"/>
    <w:rsid w:val="00F43CA0"/>
    <w:rsid w:val="00F519AA"/>
    <w:rsid w:val="00F523D2"/>
    <w:rsid w:val="00F534E1"/>
    <w:rsid w:val="00F5492F"/>
    <w:rsid w:val="00F54E15"/>
    <w:rsid w:val="00F617DA"/>
    <w:rsid w:val="00F6181E"/>
    <w:rsid w:val="00F672A5"/>
    <w:rsid w:val="00F674C6"/>
    <w:rsid w:val="00F67813"/>
    <w:rsid w:val="00F67817"/>
    <w:rsid w:val="00F7029C"/>
    <w:rsid w:val="00F705BF"/>
    <w:rsid w:val="00F735DD"/>
    <w:rsid w:val="00F75334"/>
    <w:rsid w:val="00F75CE4"/>
    <w:rsid w:val="00F77CAA"/>
    <w:rsid w:val="00F801D5"/>
    <w:rsid w:val="00F81D8B"/>
    <w:rsid w:val="00F81F0F"/>
    <w:rsid w:val="00F81F60"/>
    <w:rsid w:val="00F82D46"/>
    <w:rsid w:val="00F82F6D"/>
    <w:rsid w:val="00F83998"/>
    <w:rsid w:val="00F83EF6"/>
    <w:rsid w:val="00F8442A"/>
    <w:rsid w:val="00F84930"/>
    <w:rsid w:val="00F8511C"/>
    <w:rsid w:val="00F8634F"/>
    <w:rsid w:val="00F86ABA"/>
    <w:rsid w:val="00F86B77"/>
    <w:rsid w:val="00F86F18"/>
    <w:rsid w:val="00F91284"/>
    <w:rsid w:val="00F921A2"/>
    <w:rsid w:val="00F92892"/>
    <w:rsid w:val="00F92CD3"/>
    <w:rsid w:val="00F936BB"/>
    <w:rsid w:val="00F93EEE"/>
    <w:rsid w:val="00F93FF3"/>
    <w:rsid w:val="00F94787"/>
    <w:rsid w:val="00F948B9"/>
    <w:rsid w:val="00F949F0"/>
    <w:rsid w:val="00F9693F"/>
    <w:rsid w:val="00F96F8D"/>
    <w:rsid w:val="00F97A15"/>
    <w:rsid w:val="00F97FDC"/>
    <w:rsid w:val="00FA1174"/>
    <w:rsid w:val="00FA17C3"/>
    <w:rsid w:val="00FA1C17"/>
    <w:rsid w:val="00FA24CE"/>
    <w:rsid w:val="00FA34B6"/>
    <w:rsid w:val="00FA3C2D"/>
    <w:rsid w:val="00FA5445"/>
    <w:rsid w:val="00FA63E6"/>
    <w:rsid w:val="00FA6D2D"/>
    <w:rsid w:val="00FA7255"/>
    <w:rsid w:val="00FA76ED"/>
    <w:rsid w:val="00FB047C"/>
    <w:rsid w:val="00FB0BA1"/>
    <w:rsid w:val="00FB1786"/>
    <w:rsid w:val="00FB1CE5"/>
    <w:rsid w:val="00FB1EEA"/>
    <w:rsid w:val="00FB63A7"/>
    <w:rsid w:val="00FB6C0E"/>
    <w:rsid w:val="00FB7828"/>
    <w:rsid w:val="00FB7A85"/>
    <w:rsid w:val="00FB7D4E"/>
    <w:rsid w:val="00FC0D46"/>
    <w:rsid w:val="00FC28D9"/>
    <w:rsid w:val="00FC662E"/>
    <w:rsid w:val="00FC67C8"/>
    <w:rsid w:val="00FC6EF5"/>
    <w:rsid w:val="00FC75E0"/>
    <w:rsid w:val="00FD0EA7"/>
    <w:rsid w:val="00FD108C"/>
    <w:rsid w:val="00FD1202"/>
    <w:rsid w:val="00FD3231"/>
    <w:rsid w:val="00FD38C2"/>
    <w:rsid w:val="00FD5A8E"/>
    <w:rsid w:val="00FD5DC2"/>
    <w:rsid w:val="00FD6755"/>
    <w:rsid w:val="00FD6836"/>
    <w:rsid w:val="00FD7AA7"/>
    <w:rsid w:val="00FE0BD9"/>
    <w:rsid w:val="00FE1030"/>
    <w:rsid w:val="00FE36D8"/>
    <w:rsid w:val="00FE46D8"/>
    <w:rsid w:val="00FE47A3"/>
    <w:rsid w:val="00FE4C69"/>
    <w:rsid w:val="00FE4E77"/>
    <w:rsid w:val="00FE5E59"/>
    <w:rsid w:val="00FE5F66"/>
    <w:rsid w:val="00FE72E4"/>
    <w:rsid w:val="00FE7424"/>
    <w:rsid w:val="00FE74E5"/>
    <w:rsid w:val="00FF1822"/>
    <w:rsid w:val="00FF1FEE"/>
    <w:rsid w:val="00FF222C"/>
    <w:rsid w:val="00FF25A6"/>
    <w:rsid w:val="00FF2D7A"/>
    <w:rsid w:val="00FF303D"/>
    <w:rsid w:val="00FF4AE7"/>
    <w:rsid w:val="00FF4EF9"/>
    <w:rsid w:val="00FF5E85"/>
    <w:rsid w:val="00FF62F2"/>
    <w:rsid w:val="00FF6EA8"/>
    <w:rsid w:val="00FF71EB"/>
    <w:rsid w:val="00FF7B94"/>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77299F"/>
  <w15:docId w15:val="{F95A29DC-D6BB-4D4C-ABAA-8B3BF80816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uk-UA"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5366B"/>
  </w:style>
  <w:style w:type="paragraph" w:styleId="1">
    <w:name w:val="heading 1"/>
    <w:basedOn w:val="a"/>
    <w:next w:val="a"/>
    <w:link w:val="10"/>
    <w:uiPriority w:val="9"/>
    <w:qFormat/>
    <w:rsid w:val="0075366B"/>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next w:val="a"/>
    <w:link w:val="20"/>
    <w:uiPriority w:val="9"/>
    <w:semiHidden/>
    <w:unhideWhenUsed/>
    <w:qFormat/>
    <w:rsid w:val="0075366B"/>
    <w:pPr>
      <w:keepNext/>
      <w:keepLines/>
      <w:spacing w:before="40" w:after="0"/>
      <w:outlineLvl w:val="1"/>
    </w:pPr>
    <w:rPr>
      <w:rFonts w:asciiTheme="majorHAnsi" w:eastAsiaTheme="majorEastAsia" w:hAnsiTheme="majorHAnsi" w:cstheme="majorBidi"/>
      <w:color w:val="365F91" w:themeColor="accent1" w:themeShade="BF"/>
      <w:sz w:val="28"/>
      <w:szCs w:val="28"/>
    </w:rPr>
  </w:style>
  <w:style w:type="paragraph" w:styleId="3">
    <w:name w:val="heading 3"/>
    <w:basedOn w:val="a"/>
    <w:next w:val="a"/>
    <w:link w:val="30"/>
    <w:uiPriority w:val="9"/>
    <w:semiHidden/>
    <w:unhideWhenUsed/>
    <w:qFormat/>
    <w:rsid w:val="0075366B"/>
    <w:pPr>
      <w:keepNext/>
      <w:keepLines/>
      <w:spacing w:before="40" w:after="0"/>
      <w:outlineLvl w:val="2"/>
    </w:pPr>
    <w:rPr>
      <w:rFonts w:asciiTheme="majorHAnsi" w:eastAsiaTheme="majorEastAsia" w:hAnsiTheme="majorHAnsi" w:cstheme="majorBidi"/>
      <w:color w:val="244061" w:themeColor="accent1" w:themeShade="80"/>
      <w:sz w:val="24"/>
      <w:szCs w:val="24"/>
    </w:rPr>
  </w:style>
  <w:style w:type="paragraph" w:styleId="4">
    <w:name w:val="heading 4"/>
    <w:basedOn w:val="a"/>
    <w:next w:val="a"/>
    <w:link w:val="40"/>
    <w:uiPriority w:val="1"/>
    <w:unhideWhenUsed/>
    <w:qFormat/>
    <w:rsid w:val="0075366B"/>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5">
    <w:name w:val="heading 5"/>
    <w:basedOn w:val="a"/>
    <w:next w:val="a"/>
    <w:link w:val="50"/>
    <w:uiPriority w:val="9"/>
    <w:unhideWhenUsed/>
    <w:qFormat/>
    <w:rsid w:val="0075366B"/>
    <w:pPr>
      <w:keepNext/>
      <w:keepLines/>
      <w:spacing w:before="40" w:after="0"/>
      <w:outlineLvl w:val="4"/>
    </w:pPr>
    <w:rPr>
      <w:rFonts w:asciiTheme="majorHAnsi" w:eastAsiaTheme="majorEastAsia" w:hAnsiTheme="majorHAnsi" w:cstheme="majorBidi"/>
      <w:color w:val="365F91" w:themeColor="accent1" w:themeShade="BF"/>
    </w:rPr>
  </w:style>
  <w:style w:type="paragraph" w:styleId="6">
    <w:name w:val="heading 6"/>
    <w:basedOn w:val="a"/>
    <w:next w:val="a"/>
    <w:link w:val="60"/>
    <w:uiPriority w:val="9"/>
    <w:semiHidden/>
    <w:unhideWhenUsed/>
    <w:qFormat/>
    <w:rsid w:val="0075366B"/>
    <w:pPr>
      <w:keepNext/>
      <w:keepLines/>
      <w:spacing w:before="40" w:after="0"/>
      <w:outlineLvl w:val="5"/>
    </w:pPr>
    <w:rPr>
      <w:rFonts w:asciiTheme="majorHAnsi" w:eastAsiaTheme="majorEastAsia" w:hAnsiTheme="majorHAnsi" w:cstheme="majorBidi"/>
      <w:color w:val="244061" w:themeColor="accent1" w:themeShade="80"/>
    </w:rPr>
  </w:style>
  <w:style w:type="paragraph" w:styleId="7">
    <w:name w:val="heading 7"/>
    <w:basedOn w:val="a"/>
    <w:next w:val="a"/>
    <w:link w:val="70"/>
    <w:uiPriority w:val="9"/>
    <w:semiHidden/>
    <w:unhideWhenUsed/>
    <w:qFormat/>
    <w:rsid w:val="0075366B"/>
    <w:pPr>
      <w:keepNext/>
      <w:keepLines/>
      <w:spacing w:before="40" w:after="0"/>
      <w:outlineLvl w:val="6"/>
    </w:pPr>
    <w:rPr>
      <w:rFonts w:asciiTheme="majorHAnsi" w:eastAsiaTheme="majorEastAsia" w:hAnsiTheme="majorHAnsi" w:cstheme="majorBidi"/>
      <w:i/>
      <w:iCs/>
      <w:color w:val="244061" w:themeColor="accent1" w:themeShade="80"/>
    </w:rPr>
  </w:style>
  <w:style w:type="paragraph" w:styleId="8">
    <w:name w:val="heading 8"/>
    <w:basedOn w:val="a"/>
    <w:next w:val="a"/>
    <w:link w:val="80"/>
    <w:uiPriority w:val="9"/>
    <w:semiHidden/>
    <w:unhideWhenUsed/>
    <w:qFormat/>
    <w:rsid w:val="0075366B"/>
    <w:pPr>
      <w:keepNext/>
      <w:keepLines/>
      <w:spacing w:before="40" w:after="0"/>
      <w:outlineLvl w:val="7"/>
    </w:pPr>
    <w:rPr>
      <w:rFonts w:asciiTheme="majorHAnsi" w:eastAsiaTheme="majorEastAsia" w:hAnsiTheme="majorHAnsi" w:cstheme="majorBidi"/>
      <w:color w:val="262626" w:themeColor="text1" w:themeTint="D9"/>
      <w:sz w:val="21"/>
      <w:szCs w:val="21"/>
    </w:rPr>
  </w:style>
  <w:style w:type="paragraph" w:styleId="9">
    <w:name w:val="heading 9"/>
    <w:basedOn w:val="a"/>
    <w:next w:val="a"/>
    <w:link w:val="90"/>
    <w:uiPriority w:val="9"/>
    <w:semiHidden/>
    <w:unhideWhenUsed/>
    <w:qFormat/>
    <w:rsid w:val="0075366B"/>
    <w:pPr>
      <w:keepNext/>
      <w:keepLines/>
      <w:spacing w:before="40" w:after="0"/>
      <w:outlineLvl w:val="8"/>
    </w:pPr>
    <w:rPr>
      <w:rFonts w:asciiTheme="majorHAnsi" w:eastAsiaTheme="majorEastAsia" w:hAnsiTheme="majorHAnsi" w:cstheme="majorBidi"/>
      <w:i/>
      <w:iCs/>
      <w:color w:val="262626" w:themeColor="text1" w:themeTint="D9"/>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75366B"/>
    <w:rPr>
      <w:rFonts w:asciiTheme="majorHAnsi" w:eastAsiaTheme="majorEastAsia" w:hAnsiTheme="majorHAnsi" w:cstheme="majorBidi"/>
      <w:color w:val="365F91" w:themeColor="accent1" w:themeShade="BF"/>
      <w:sz w:val="32"/>
      <w:szCs w:val="32"/>
    </w:rPr>
  </w:style>
  <w:style w:type="character" w:customStyle="1" w:styleId="20">
    <w:name w:val="Заголовок 2 Знак"/>
    <w:basedOn w:val="a0"/>
    <w:link w:val="2"/>
    <w:uiPriority w:val="9"/>
    <w:semiHidden/>
    <w:rsid w:val="0075366B"/>
    <w:rPr>
      <w:rFonts w:asciiTheme="majorHAnsi" w:eastAsiaTheme="majorEastAsia" w:hAnsiTheme="majorHAnsi" w:cstheme="majorBidi"/>
      <w:color w:val="365F91" w:themeColor="accent1" w:themeShade="BF"/>
      <w:sz w:val="28"/>
      <w:szCs w:val="28"/>
    </w:rPr>
  </w:style>
  <w:style w:type="character" w:customStyle="1" w:styleId="30">
    <w:name w:val="Заголовок 3 Знак"/>
    <w:basedOn w:val="a0"/>
    <w:link w:val="3"/>
    <w:uiPriority w:val="9"/>
    <w:semiHidden/>
    <w:rsid w:val="0075366B"/>
    <w:rPr>
      <w:rFonts w:asciiTheme="majorHAnsi" w:eastAsiaTheme="majorEastAsia" w:hAnsiTheme="majorHAnsi" w:cstheme="majorBidi"/>
      <w:color w:val="244061" w:themeColor="accent1" w:themeShade="80"/>
      <w:sz w:val="24"/>
      <w:szCs w:val="24"/>
    </w:rPr>
  </w:style>
  <w:style w:type="character" w:customStyle="1" w:styleId="40">
    <w:name w:val="Заголовок 4 Знак"/>
    <w:basedOn w:val="a0"/>
    <w:link w:val="4"/>
    <w:uiPriority w:val="1"/>
    <w:rsid w:val="0075366B"/>
    <w:rPr>
      <w:rFonts w:asciiTheme="majorHAnsi" w:eastAsiaTheme="majorEastAsia" w:hAnsiTheme="majorHAnsi" w:cstheme="majorBidi"/>
      <w:i/>
      <w:iCs/>
      <w:color w:val="365F91" w:themeColor="accent1" w:themeShade="BF"/>
    </w:rPr>
  </w:style>
  <w:style w:type="character" w:customStyle="1" w:styleId="50">
    <w:name w:val="Заголовок 5 Знак"/>
    <w:basedOn w:val="a0"/>
    <w:link w:val="5"/>
    <w:uiPriority w:val="9"/>
    <w:rsid w:val="0075366B"/>
    <w:rPr>
      <w:rFonts w:asciiTheme="majorHAnsi" w:eastAsiaTheme="majorEastAsia" w:hAnsiTheme="majorHAnsi" w:cstheme="majorBidi"/>
      <w:color w:val="365F91" w:themeColor="accent1" w:themeShade="BF"/>
    </w:rPr>
  </w:style>
  <w:style w:type="character" w:customStyle="1" w:styleId="60">
    <w:name w:val="Заголовок 6 Знак"/>
    <w:basedOn w:val="a0"/>
    <w:link w:val="6"/>
    <w:uiPriority w:val="9"/>
    <w:semiHidden/>
    <w:rsid w:val="0075366B"/>
    <w:rPr>
      <w:rFonts w:asciiTheme="majorHAnsi" w:eastAsiaTheme="majorEastAsia" w:hAnsiTheme="majorHAnsi" w:cstheme="majorBidi"/>
      <w:color w:val="244061" w:themeColor="accent1" w:themeShade="80"/>
    </w:rPr>
  </w:style>
  <w:style w:type="character" w:customStyle="1" w:styleId="70">
    <w:name w:val="Заголовок 7 Знак"/>
    <w:basedOn w:val="a0"/>
    <w:link w:val="7"/>
    <w:uiPriority w:val="9"/>
    <w:semiHidden/>
    <w:rsid w:val="0075366B"/>
    <w:rPr>
      <w:rFonts w:asciiTheme="majorHAnsi" w:eastAsiaTheme="majorEastAsia" w:hAnsiTheme="majorHAnsi" w:cstheme="majorBidi"/>
      <w:i/>
      <w:iCs/>
      <w:color w:val="244061" w:themeColor="accent1" w:themeShade="80"/>
    </w:rPr>
  </w:style>
  <w:style w:type="character" w:customStyle="1" w:styleId="80">
    <w:name w:val="Заголовок 8 Знак"/>
    <w:basedOn w:val="a0"/>
    <w:link w:val="8"/>
    <w:uiPriority w:val="9"/>
    <w:semiHidden/>
    <w:rsid w:val="0075366B"/>
    <w:rPr>
      <w:rFonts w:asciiTheme="majorHAnsi" w:eastAsiaTheme="majorEastAsia" w:hAnsiTheme="majorHAnsi" w:cstheme="majorBidi"/>
      <w:color w:val="262626" w:themeColor="text1" w:themeTint="D9"/>
      <w:sz w:val="21"/>
      <w:szCs w:val="21"/>
    </w:rPr>
  </w:style>
  <w:style w:type="character" w:customStyle="1" w:styleId="90">
    <w:name w:val="Заголовок 9 Знак"/>
    <w:basedOn w:val="a0"/>
    <w:link w:val="9"/>
    <w:uiPriority w:val="9"/>
    <w:semiHidden/>
    <w:rsid w:val="0075366B"/>
    <w:rPr>
      <w:rFonts w:asciiTheme="majorHAnsi" w:eastAsiaTheme="majorEastAsia" w:hAnsiTheme="majorHAnsi" w:cstheme="majorBidi"/>
      <w:i/>
      <w:iCs/>
      <w:color w:val="262626" w:themeColor="text1" w:themeTint="D9"/>
      <w:sz w:val="21"/>
      <w:szCs w:val="21"/>
    </w:rPr>
  </w:style>
  <w:style w:type="paragraph" w:customStyle="1" w:styleId="Default">
    <w:name w:val="Default"/>
    <w:rsid w:val="00CA3068"/>
    <w:pPr>
      <w:autoSpaceDE w:val="0"/>
      <w:autoSpaceDN w:val="0"/>
      <w:adjustRightInd w:val="0"/>
      <w:spacing w:after="0" w:line="240" w:lineRule="auto"/>
    </w:pPr>
    <w:rPr>
      <w:rFonts w:ascii="Segoe UI" w:hAnsi="Segoe UI" w:cs="Segoe UI"/>
      <w:color w:val="000000"/>
      <w:sz w:val="24"/>
      <w:szCs w:val="24"/>
    </w:rPr>
  </w:style>
  <w:style w:type="table" w:styleId="a3">
    <w:name w:val="Table Grid"/>
    <w:basedOn w:val="a1"/>
    <w:uiPriority w:val="39"/>
    <w:rsid w:val="00CA306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punktowane_snoroa"/>
    <w:basedOn w:val="a"/>
    <w:link w:val="a5"/>
    <w:uiPriority w:val="34"/>
    <w:qFormat/>
    <w:rsid w:val="00AF3A5D"/>
    <w:pPr>
      <w:ind w:left="720"/>
      <w:contextualSpacing/>
    </w:pPr>
  </w:style>
  <w:style w:type="character" w:customStyle="1" w:styleId="a5">
    <w:name w:val="Абзац списку Знак"/>
    <w:aliases w:val="punktowane_snoroa Знак"/>
    <w:link w:val="a4"/>
    <w:uiPriority w:val="34"/>
    <w:locked/>
    <w:rsid w:val="00211D2F"/>
  </w:style>
  <w:style w:type="paragraph" w:customStyle="1" w:styleId="a6">
    <w:name w:val="Шапка документу"/>
    <w:basedOn w:val="a"/>
    <w:rsid w:val="005E1066"/>
    <w:pPr>
      <w:keepNext/>
      <w:keepLines/>
      <w:spacing w:after="240" w:line="240" w:lineRule="auto"/>
      <w:ind w:left="4536"/>
      <w:jc w:val="center"/>
    </w:pPr>
    <w:rPr>
      <w:rFonts w:ascii="Antiqua" w:eastAsia="Times New Roman" w:hAnsi="Antiqua" w:cs="Times New Roman"/>
      <w:sz w:val="26"/>
      <w:szCs w:val="20"/>
      <w:lang w:eastAsia="ru-RU"/>
    </w:rPr>
  </w:style>
  <w:style w:type="paragraph" w:styleId="a7">
    <w:name w:val="header"/>
    <w:basedOn w:val="a"/>
    <w:link w:val="a8"/>
    <w:uiPriority w:val="99"/>
    <w:unhideWhenUsed/>
    <w:rsid w:val="006D72BE"/>
    <w:pPr>
      <w:tabs>
        <w:tab w:val="center" w:pos="4819"/>
        <w:tab w:val="right" w:pos="9639"/>
      </w:tabs>
      <w:spacing w:after="0" w:line="240" w:lineRule="auto"/>
    </w:pPr>
  </w:style>
  <w:style w:type="character" w:customStyle="1" w:styleId="a8">
    <w:name w:val="Верхній колонтитул Знак"/>
    <w:basedOn w:val="a0"/>
    <w:link w:val="a7"/>
    <w:uiPriority w:val="99"/>
    <w:rsid w:val="006D72BE"/>
  </w:style>
  <w:style w:type="paragraph" w:styleId="a9">
    <w:name w:val="footer"/>
    <w:basedOn w:val="a"/>
    <w:link w:val="aa"/>
    <w:uiPriority w:val="99"/>
    <w:unhideWhenUsed/>
    <w:rsid w:val="006D72BE"/>
    <w:pPr>
      <w:tabs>
        <w:tab w:val="center" w:pos="4819"/>
        <w:tab w:val="right" w:pos="9639"/>
      </w:tabs>
      <w:spacing w:after="0" w:line="240" w:lineRule="auto"/>
    </w:pPr>
  </w:style>
  <w:style w:type="character" w:customStyle="1" w:styleId="aa">
    <w:name w:val="Нижній колонтитул Знак"/>
    <w:basedOn w:val="a0"/>
    <w:link w:val="a9"/>
    <w:uiPriority w:val="99"/>
    <w:rsid w:val="006D72BE"/>
  </w:style>
  <w:style w:type="table" w:customStyle="1" w:styleId="11">
    <w:name w:val="Сітка таблиці1"/>
    <w:basedOn w:val="a1"/>
    <w:next w:val="a3"/>
    <w:uiPriority w:val="59"/>
    <w:rsid w:val="0016780B"/>
    <w:pPr>
      <w:spacing w:after="0" w:line="24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Balloon Text"/>
    <w:basedOn w:val="a"/>
    <w:link w:val="ac"/>
    <w:uiPriority w:val="99"/>
    <w:semiHidden/>
    <w:unhideWhenUsed/>
    <w:rsid w:val="000C152C"/>
    <w:pPr>
      <w:spacing w:after="0" w:line="240" w:lineRule="auto"/>
    </w:pPr>
    <w:rPr>
      <w:rFonts w:ascii="Tahoma" w:hAnsi="Tahoma" w:cs="Tahoma"/>
      <w:sz w:val="16"/>
      <w:szCs w:val="16"/>
    </w:rPr>
  </w:style>
  <w:style w:type="character" w:customStyle="1" w:styleId="ac">
    <w:name w:val="Текст у виносці Знак"/>
    <w:basedOn w:val="a0"/>
    <w:link w:val="ab"/>
    <w:uiPriority w:val="99"/>
    <w:semiHidden/>
    <w:rsid w:val="000C152C"/>
    <w:rPr>
      <w:rFonts w:ascii="Tahoma" w:hAnsi="Tahoma" w:cs="Tahoma"/>
      <w:sz w:val="16"/>
      <w:szCs w:val="16"/>
    </w:rPr>
  </w:style>
  <w:style w:type="paragraph" w:customStyle="1" w:styleId="ad">
    <w:name w:val="Нормальний текст"/>
    <w:basedOn w:val="a"/>
    <w:rsid w:val="00265A07"/>
    <w:pPr>
      <w:spacing w:before="120" w:after="0" w:line="240" w:lineRule="auto"/>
      <w:ind w:firstLine="567"/>
    </w:pPr>
    <w:rPr>
      <w:rFonts w:ascii="Antiqua" w:eastAsia="Times New Roman" w:hAnsi="Antiqua" w:cs="Times New Roman"/>
      <w:sz w:val="26"/>
      <w:szCs w:val="20"/>
      <w:lang w:eastAsia="ru-RU"/>
    </w:rPr>
  </w:style>
  <w:style w:type="paragraph" w:customStyle="1" w:styleId="ae">
    <w:name w:val="a"/>
    <w:basedOn w:val="a"/>
    <w:uiPriority w:val="99"/>
    <w:rsid w:val="00265A07"/>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styleId="af">
    <w:name w:val="Normal (Web)"/>
    <w:basedOn w:val="a"/>
    <w:uiPriority w:val="99"/>
    <w:unhideWhenUsed/>
    <w:rsid w:val="00802DDA"/>
    <w:pPr>
      <w:spacing w:before="100" w:beforeAutospacing="1" w:after="100" w:afterAutospacing="1" w:line="240" w:lineRule="auto"/>
    </w:pPr>
    <w:rPr>
      <w:rFonts w:ascii="Times New Roman" w:hAnsi="Times New Roman" w:cs="Times New Roman"/>
      <w:sz w:val="24"/>
      <w:szCs w:val="24"/>
      <w:lang w:eastAsia="uk-UA"/>
    </w:rPr>
  </w:style>
  <w:style w:type="paragraph" w:customStyle="1" w:styleId="rvps2">
    <w:name w:val="rvps2"/>
    <w:basedOn w:val="a"/>
    <w:rsid w:val="00844487"/>
    <w:pPr>
      <w:spacing w:before="100" w:beforeAutospacing="1" w:after="100" w:afterAutospacing="1" w:line="240" w:lineRule="auto"/>
    </w:pPr>
    <w:rPr>
      <w:rFonts w:ascii="Times New Roman" w:eastAsia="Times New Roman" w:hAnsi="Times New Roman" w:cs="Times New Roman"/>
      <w:sz w:val="24"/>
      <w:szCs w:val="24"/>
      <w:lang w:eastAsia="uk-UA"/>
    </w:rPr>
  </w:style>
  <w:style w:type="character" w:customStyle="1" w:styleId="CharStyle18">
    <w:name w:val="Char Style 18"/>
    <w:basedOn w:val="a0"/>
    <w:link w:val="Style9"/>
    <w:rsid w:val="00AE7935"/>
    <w:rPr>
      <w:sz w:val="27"/>
      <w:szCs w:val="27"/>
      <w:shd w:val="clear" w:color="auto" w:fill="FFFFFF"/>
    </w:rPr>
  </w:style>
  <w:style w:type="paragraph" w:customStyle="1" w:styleId="Style9">
    <w:name w:val="Style 9"/>
    <w:basedOn w:val="a"/>
    <w:link w:val="CharStyle18"/>
    <w:rsid w:val="00AE7935"/>
    <w:pPr>
      <w:widowControl w:val="0"/>
      <w:shd w:val="clear" w:color="auto" w:fill="FFFFFF"/>
      <w:spacing w:after="0" w:line="0" w:lineRule="atLeast"/>
    </w:pPr>
    <w:rPr>
      <w:sz w:val="27"/>
      <w:szCs w:val="27"/>
    </w:rPr>
  </w:style>
  <w:style w:type="character" w:customStyle="1" w:styleId="CharStyle11">
    <w:name w:val="Char Style 11"/>
    <w:basedOn w:val="a0"/>
    <w:link w:val="Style2"/>
    <w:rsid w:val="00AE7935"/>
    <w:rPr>
      <w:sz w:val="26"/>
      <w:szCs w:val="26"/>
      <w:shd w:val="clear" w:color="auto" w:fill="FFFFFF"/>
    </w:rPr>
  </w:style>
  <w:style w:type="paragraph" w:customStyle="1" w:styleId="Style2">
    <w:name w:val="Style 2"/>
    <w:basedOn w:val="a"/>
    <w:link w:val="CharStyle11"/>
    <w:rsid w:val="00AE7935"/>
    <w:pPr>
      <w:widowControl w:val="0"/>
      <w:shd w:val="clear" w:color="auto" w:fill="FFFFFF"/>
      <w:spacing w:before="1080" w:after="0" w:line="0" w:lineRule="atLeast"/>
    </w:pPr>
    <w:rPr>
      <w:sz w:val="26"/>
      <w:szCs w:val="26"/>
    </w:rPr>
  </w:style>
  <w:style w:type="character" w:styleId="af0">
    <w:name w:val="Emphasis"/>
    <w:basedOn w:val="a0"/>
    <w:uiPriority w:val="20"/>
    <w:qFormat/>
    <w:rsid w:val="0075366B"/>
    <w:rPr>
      <w:i/>
      <w:iCs/>
      <w:color w:val="auto"/>
    </w:rPr>
  </w:style>
  <w:style w:type="character" w:customStyle="1" w:styleId="CharStyle9">
    <w:name w:val="Char Style 9"/>
    <w:basedOn w:val="a0"/>
    <w:link w:val="Style8"/>
    <w:rsid w:val="00AE7935"/>
    <w:rPr>
      <w:sz w:val="26"/>
      <w:szCs w:val="26"/>
      <w:shd w:val="clear" w:color="auto" w:fill="FFFFFF"/>
    </w:rPr>
  </w:style>
  <w:style w:type="paragraph" w:customStyle="1" w:styleId="Style8">
    <w:name w:val="Style 8"/>
    <w:basedOn w:val="a"/>
    <w:link w:val="CharStyle9"/>
    <w:rsid w:val="00AE7935"/>
    <w:pPr>
      <w:widowControl w:val="0"/>
      <w:shd w:val="clear" w:color="auto" w:fill="FFFFFF"/>
      <w:spacing w:before="300" w:after="60" w:line="317" w:lineRule="exact"/>
      <w:jc w:val="both"/>
    </w:pPr>
    <w:rPr>
      <w:sz w:val="26"/>
      <w:szCs w:val="26"/>
    </w:rPr>
  </w:style>
  <w:style w:type="paragraph" w:styleId="af1">
    <w:name w:val="Body Text"/>
    <w:basedOn w:val="a"/>
    <w:link w:val="af2"/>
    <w:uiPriority w:val="1"/>
    <w:qFormat/>
    <w:rsid w:val="00DB1C62"/>
    <w:pPr>
      <w:widowControl w:val="0"/>
      <w:autoSpaceDE w:val="0"/>
      <w:autoSpaceDN w:val="0"/>
      <w:spacing w:after="0" w:line="240" w:lineRule="auto"/>
    </w:pPr>
    <w:rPr>
      <w:rFonts w:ascii="Arial" w:eastAsia="Arial" w:hAnsi="Arial" w:cs="Arial"/>
      <w:lang w:val="en-US" w:bidi="en-US"/>
    </w:rPr>
  </w:style>
  <w:style w:type="character" w:customStyle="1" w:styleId="af2">
    <w:name w:val="Основний текст Знак"/>
    <w:basedOn w:val="a0"/>
    <w:link w:val="af1"/>
    <w:uiPriority w:val="1"/>
    <w:rsid w:val="00DB1C62"/>
    <w:rPr>
      <w:rFonts w:ascii="Arial" w:eastAsia="Arial" w:hAnsi="Arial" w:cs="Arial"/>
      <w:lang w:val="en-US" w:bidi="en-US"/>
    </w:rPr>
  </w:style>
  <w:style w:type="paragraph" w:styleId="af3">
    <w:name w:val="footnote text"/>
    <w:basedOn w:val="a"/>
    <w:link w:val="af4"/>
    <w:uiPriority w:val="99"/>
    <w:unhideWhenUsed/>
    <w:rsid w:val="00DB1C62"/>
    <w:pPr>
      <w:widowControl w:val="0"/>
      <w:autoSpaceDE w:val="0"/>
      <w:autoSpaceDN w:val="0"/>
      <w:spacing w:after="0" w:line="240" w:lineRule="auto"/>
    </w:pPr>
    <w:rPr>
      <w:rFonts w:ascii="Arial" w:eastAsia="Arial" w:hAnsi="Arial" w:cs="Arial"/>
      <w:sz w:val="20"/>
      <w:szCs w:val="20"/>
      <w:lang w:val="en-US" w:bidi="en-US"/>
    </w:rPr>
  </w:style>
  <w:style w:type="character" w:customStyle="1" w:styleId="af4">
    <w:name w:val="Текст виноски Знак"/>
    <w:basedOn w:val="a0"/>
    <w:link w:val="af3"/>
    <w:uiPriority w:val="99"/>
    <w:rsid w:val="00DB1C62"/>
    <w:rPr>
      <w:rFonts w:ascii="Arial" w:eastAsia="Arial" w:hAnsi="Arial" w:cs="Arial"/>
      <w:sz w:val="20"/>
      <w:szCs w:val="20"/>
      <w:lang w:val="en-US" w:bidi="en-US"/>
    </w:rPr>
  </w:style>
  <w:style w:type="character" w:styleId="af5">
    <w:name w:val="footnote reference"/>
    <w:basedOn w:val="a0"/>
    <w:uiPriority w:val="99"/>
    <w:semiHidden/>
    <w:unhideWhenUsed/>
    <w:rsid w:val="00DB1C62"/>
    <w:rPr>
      <w:vertAlign w:val="superscript"/>
    </w:rPr>
  </w:style>
  <w:style w:type="paragraph" w:styleId="21">
    <w:name w:val="Body Text 2"/>
    <w:basedOn w:val="a"/>
    <w:link w:val="22"/>
    <w:uiPriority w:val="99"/>
    <w:semiHidden/>
    <w:unhideWhenUsed/>
    <w:rsid w:val="00520B57"/>
    <w:pPr>
      <w:spacing w:after="120" w:line="480" w:lineRule="auto"/>
    </w:pPr>
  </w:style>
  <w:style w:type="character" w:customStyle="1" w:styleId="22">
    <w:name w:val="Основний текст 2 Знак"/>
    <w:basedOn w:val="a0"/>
    <w:link w:val="21"/>
    <w:uiPriority w:val="99"/>
    <w:semiHidden/>
    <w:rsid w:val="00520B57"/>
  </w:style>
  <w:style w:type="character" w:styleId="af6">
    <w:name w:val="Hyperlink"/>
    <w:basedOn w:val="a0"/>
    <w:uiPriority w:val="99"/>
    <w:unhideWhenUsed/>
    <w:rsid w:val="00520B57"/>
    <w:rPr>
      <w:color w:val="0000FF" w:themeColor="hyperlink"/>
      <w:u w:val="single"/>
    </w:rPr>
  </w:style>
  <w:style w:type="paragraph" w:customStyle="1" w:styleId="ListParagraph1">
    <w:name w:val="List Paragraph1"/>
    <w:basedOn w:val="a"/>
    <w:rsid w:val="00520B57"/>
    <w:pPr>
      <w:overflowPunct w:val="0"/>
      <w:autoSpaceDE w:val="0"/>
      <w:autoSpaceDN w:val="0"/>
      <w:adjustRightInd w:val="0"/>
      <w:ind w:left="720"/>
    </w:pPr>
    <w:rPr>
      <w:rFonts w:ascii="Calibri" w:eastAsia="Times New Roman" w:hAnsi="Calibri" w:cs="Times New Roman"/>
      <w:szCs w:val="20"/>
      <w:lang w:val="ru-RU" w:eastAsia="ru-RU"/>
    </w:rPr>
  </w:style>
  <w:style w:type="paragraph" w:customStyle="1" w:styleId="Pa15">
    <w:name w:val="Pa15"/>
    <w:basedOn w:val="a"/>
    <w:next w:val="a"/>
    <w:rsid w:val="00520B57"/>
    <w:pPr>
      <w:overflowPunct w:val="0"/>
      <w:autoSpaceDE w:val="0"/>
      <w:autoSpaceDN w:val="0"/>
      <w:adjustRightInd w:val="0"/>
      <w:spacing w:after="0" w:line="241" w:lineRule="atLeast"/>
    </w:pPr>
    <w:rPr>
      <w:rFonts w:ascii="Times New Roman" w:eastAsia="Times New Roman" w:hAnsi="Times New Roman" w:cs="Times New Roman"/>
      <w:sz w:val="24"/>
      <w:szCs w:val="20"/>
      <w:lang w:val="ru-RU" w:eastAsia="ru-RU"/>
    </w:rPr>
  </w:style>
  <w:style w:type="paragraph" w:styleId="23">
    <w:name w:val="Body Text Indent 2"/>
    <w:basedOn w:val="a"/>
    <w:link w:val="24"/>
    <w:uiPriority w:val="99"/>
    <w:unhideWhenUsed/>
    <w:rsid w:val="008A3898"/>
    <w:pPr>
      <w:spacing w:after="120" w:line="480" w:lineRule="auto"/>
      <w:ind w:left="283"/>
    </w:pPr>
  </w:style>
  <w:style w:type="character" w:customStyle="1" w:styleId="24">
    <w:name w:val="Основний текст з відступом 2 Знак"/>
    <w:basedOn w:val="a0"/>
    <w:link w:val="23"/>
    <w:uiPriority w:val="99"/>
    <w:rsid w:val="008A3898"/>
  </w:style>
  <w:style w:type="paragraph" w:customStyle="1" w:styleId="DecimalAligned">
    <w:name w:val="Decimal Aligned"/>
    <w:basedOn w:val="a"/>
    <w:uiPriority w:val="40"/>
    <w:qFormat/>
    <w:rsid w:val="00211D2F"/>
    <w:pPr>
      <w:tabs>
        <w:tab w:val="decimal" w:pos="360"/>
      </w:tabs>
    </w:pPr>
    <w:rPr>
      <w:rFonts w:cs="Times New Roman"/>
      <w:lang w:eastAsia="uk-UA"/>
    </w:rPr>
  </w:style>
  <w:style w:type="character" w:styleId="af7">
    <w:name w:val="Subtle Emphasis"/>
    <w:basedOn w:val="a0"/>
    <w:uiPriority w:val="19"/>
    <w:qFormat/>
    <w:rsid w:val="0075366B"/>
    <w:rPr>
      <w:i/>
      <w:iCs/>
      <w:color w:val="404040" w:themeColor="text1" w:themeTint="BF"/>
    </w:rPr>
  </w:style>
  <w:style w:type="character" w:customStyle="1" w:styleId="rvts9">
    <w:name w:val="rvts9"/>
    <w:basedOn w:val="a0"/>
    <w:rsid w:val="00211D2F"/>
  </w:style>
  <w:style w:type="character" w:customStyle="1" w:styleId="rvts46">
    <w:name w:val="rvts46"/>
    <w:basedOn w:val="a0"/>
    <w:rsid w:val="00211D2F"/>
  </w:style>
  <w:style w:type="character" w:customStyle="1" w:styleId="rvts37">
    <w:name w:val="rvts37"/>
    <w:basedOn w:val="a0"/>
    <w:rsid w:val="00211D2F"/>
  </w:style>
  <w:style w:type="table" w:customStyle="1" w:styleId="210">
    <w:name w:val="Звичайна таблиця 21"/>
    <w:basedOn w:val="a1"/>
    <w:uiPriority w:val="42"/>
    <w:rsid w:val="00211D2F"/>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111">
    <w:name w:val="Сітка таблиці 1 (світла) – акцент 11"/>
    <w:basedOn w:val="a1"/>
    <w:uiPriority w:val="46"/>
    <w:rsid w:val="00211D2F"/>
    <w:pPr>
      <w:spacing w:after="0" w:line="240" w:lineRule="auto"/>
    </w:p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customStyle="1" w:styleId="151">
    <w:name w:val="Сітка таблиці 1 (світла) – акцент 51"/>
    <w:basedOn w:val="a1"/>
    <w:uiPriority w:val="46"/>
    <w:rsid w:val="00211D2F"/>
    <w:pPr>
      <w:spacing w:after="0" w:line="240" w:lineRule="auto"/>
    </w:pPr>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customStyle="1" w:styleId="1511">
    <w:name w:val="Сітка таблиці 1 (світла) – акцент 511"/>
    <w:basedOn w:val="a1"/>
    <w:uiPriority w:val="46"/>
    <w:rsid w:val="009A1076"/>
    <w:pPr>
      <w:spacing w:after="0" w:line="240" w:lineRule="auto"/>
    </w:pPr>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character" w:styleId="af8">
    <w:name w:val="Strong"/>
    <w:basedOn w:val="a0"/>
    <w:uiPriority w:val="22"/>
    <w:qFormat/>
    <w:rsid w:val="0075366B"/>
    <w:rPr>
      <w:b/>
      <w:bCs/>
      <w:color w:val="auto"/>
    </w:rPr>
  </w:style>
  <w:style w:type="paragraph" w:styleId="af9">
    <w:name w:val="Title"/>
    <w:basedOn w:val="a"/>
    <w:next w:val="a"/>
    <w:link w:val="afa"/>
    <w:uiPriority w:val="10"/>
    <w:qFormat/>
    <w:rsid w:val="0075366B"/>
    <w:pPr>
      <w:spacing w:after="0" w:line="240" w:lineRule="auto"/>
      <w:contextualSpacing/>
    </w:pPr>
    <w:rPr>
      <w:rFonts w:asciiTheme="majorHAnsi" w:eastAsiaTheme="majorEastAsia" w:hAnsiTheme="majorHAnsi" w:cstheme="majorBidi"/>
      <w:spacing w:val="-10"/>
      <w:sz w:val="56"/>
      <w:szCs w:val="56"/>
    </w:rPr>
  </w:style>
  <w:style w:type="character" w:customStyle="1" w:styleId="afa">
    <w:name w:val="Назва Знак"/>
    <w:basedOn w:val="a0"/>
    <w:link w:val="af9"/>
    <w:uiPriority w:val="10"/>
    <w:rsid w:val="0075366B"/>
    <w:rPr>
      <w:rFonts w:asciiTheme="majorHAnsi" w:eastAsiaTheme="majorEastAsia" w:hAnsiTheme="majorHAnsi" w:cstheme="majorBidi"/>
      <w:spacing w:val="-10"/>
      <w:sz w:val="56"/>
      <w:szCs w:val="56"/>
    </w:rPr>
  </w:style>
  <w:style w:type="character" w:styleId="afb">
    <w:name w:val="annotation reference"/>
    <w:basedOn w:val="a0"/>
    <w:uiPriority w:val="99"/>
    <w:semiHidden/>
    <w:unhideWhenUsed/>
    <w:rsid w:val="009447F6"/>
    <w:rPr>
      <w:sz w:val="16"/>
      <w:szCs w:val="16"/>
    </w:rPr>
  </w:style>
  <w:style w:type="paragraph" w:styleId="afc">
    <w:name w:val="annotation text"/>
    <w:basedOn w:val="a"/>
    <w:link w:val="afd"/>
    <w:uiPriority w:val="99"/>
    <w:semiHidden/>
    <w:unhideWhenUsed/>
    <w:rsid w:val="009447F6"/>
    <w:pPr>
      <w:spacing w:line="240" w:lineRule="auto"/>
    </w:pPr>
    <w:rPr>
      <w:sz w:val="20"/>
      <w:szCs w:val="20"/>
    </w:rPr>
  </w:style>
  <w:style w:type="character" w:customStyle="1" w:styleId="afd">
    <w:name w:val="Текст примітки Знак"/>
    <w:basedOn w:val="a0"/>
    <w:link w:val="afc"/>
    <w:uiPriority w:val="99"/>
    <w:semiHidden/>
    <w:rsid w:val="009447F6"/>
    <w:rPr>
      <w:sz w:val="20"/>
      <w:szCs w:val="20"/>
    </w:rPr>
  </w:style>
  <w:style w:type="paragraph" w:styleId="afe">
    <w:name w:val="annotation subject"/>
    <w:basedOn w:val="afc"/>
    <w:next w:val="afc"/>
    <w:link w:val="aff"/>
    <w:uiPriority w:val="99"/>
    <w:semiHidden/>
    <w:unhideWhenUsed/>
    <w:rsid w:val="009447F6"/>
    <w:rPr>
      <w:b/>
      <w:bCs/>
    </w:rPr>
  </w:style>
  <w:style w:type="character" w:customStyle="1" w:styleId="aff">
    <w:name w:val="Тема примітки Знак"/>
    <w:basedOn w:val="afd"/>
    <w:link w:val="afe"/>
    <w:uiPriority w:val="99"/>
    <w:semiHidden/>
    <w:rsid w:val="009447F6"/>
    <w:rPr>
      <w:b/>
      <w:bCs/>
      <w:sz w:val="20"/>
      <w:szCs w:val="20"/>
    </w:rPr>
  </w:style>
  <w:style w:type="paragraph" w:styleId="aff0">
    <w:name w:val="Revision"/>
    <w:hidden/>
    <w:uiPriority w:val="99"/>
    <w:semiHidden/>
    <w:rsid w:val="00594FDE"/>
    <w:pPr>
      <w:spacing w:after="0" w:line="240" w:lineRule="auto"/>
    </w:pPr>
  </w:style>
  <w:style w:type="table" w:styleId="31">
    <w:name w:val="Light Shading Accent 3"/>
    <w:basedOn w:val="a1"/>
    <w:uiPriority w:val="60"/>
    <w:rsid w:val="00ED22E5"/>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styleId="aff1">
    <w:name w:val="TOC Heading"/>
    <w:basedOn w:val="1"/>
    <w:next w:val="a"/>
    <w:uiPriority w:val="39"/>
    <w:unhideWhenUsed/>
    <w:qFormat/>
    <w:rsid w:val="0075366B"/>
    <w:pPr>
      <w:outlineLvl w:val="9"/>
    </w:pPr>
  </w:style>
  <w:style w:type="paragraph" w:styleId="12">
    <w:name w:val="toc 1"/>
    <w:basedOn w:val="a"/>
    <w:next w:val="a"/>
    <w:autoRedefine/>
    <w:uiPriority w:val="39"/>
    <w:unhideWhenUsed/>
    <w:rsid w:val="00AE4197"/>
    <w:pPr>
      <w:tabs>
        <w:tab w:val="right" w:leader="dot" w:pos="9911"/>
      </w:tabs>
      <w:spacing w:after="100"/>
    </w:pPr>
    <w:rPr>
      <w:rFonts w:asciiTheme="majorHAnsi" w:hAnsiTheme="majorHAnsi" w:cstheme="minorHAnsi"/>
      <w:b/>
      <w:bCs/>
    </w:rPr>
  </w:style>
  <w:style w:type="paragraph" w:customStyle="1" w:styleId="aff2">
    <w:name w:val="Знак Знак Знак Знак Знак Знак Знак Знак Знак Знак Знак Знак Знак Знак Знак Знак Знак Знак Знак Знак Знак Знак Знак Знак Знак Знак"/>
    <w:basedOn w:val="a"/>
    <w:rsid w:val="00A45997"/>
    <w:pPr>
      <w:spacing w:after="0" w:line="240" w:lineRule="auto"/>
    </w:pPr>
    <w:rPr>
      <w:rFonts w:ascii="Verdana" w:eastAsia="Times New Roman" w:hAnsi="Verdana" w:cs="Verdana"/>
      <w:sz w:val="20"/>
      <w:szCs w:val="20"/>
      <w:lang w:val="en-US"/>
    </w:rPr>
  </w:style>
  <w:style w:type="paragraph" w:styleId="aff3">
    <w:name w:val="Body Text Indent"/>
    <w:basedOn w:val="a"/>
    <w:link w:val="aff4"/>
    <w:uiPriority w:val="99"/>
    <w:semiHidden/>
    <w:unhideWhenUsed/>
    <w:rsid w:val="00F022E2"/>
    <w:pPr>
      <w:spacing w:after="120"/>
      <w:ind w:left="283"/>
    </w:pPr>
  </w:style>
  <w:style w:type="character" w:customStyle="1" w:styleId="aff4">
    <w:name w:val="Основний текст з відступом Знак"/>
    <w:basedOn w:val="a0"/>
    <w:link w:val="aff3"/>
    <w:uiPriority w:val="99"/>
    <w:semiHidden/>
    <w:rsid w:val="00F022E2"/>
  </w:style>
  <w:style w:type="paragraph" w:customStyle="1" w:styleId="Aff5">
    <w:name w:val="A"/>
    <w:basedOn w:val="a"/>
    <w:uiPriority w:val="99"/>
    <w:rsid w:val="004C12BD"/>
    <w:pPr>
      <w:spacing w:before="100" w:after="100" w:line="240" w:lineRule="auto"/>
    </w:pPr>
    <w:rPr>
      <w:rFonts w:ascii="Times New Roman" w:eastAsia="Times New Roman" w:hAnsi="Times New Roman" w:cs="Times New Roman"/>
      <w:sz w:val="24"/>
      <w:szCs w:val="24"/>
      <w:lang w:val="ru-RU" w:eastAsia="ru-RU"/>
    </w:rPr>
  </w:style>
  <w:style w:type="paragraph" w:styleId="aff6">
    <w:name w:val="caption"/>
    <w:basedOn w:val="a"/>
    <w:next w:val="a"/>
    <w:uiPriority w:val="35"/>
    <w:unhideWhenUsed/>
    <w:qFormat/>
    <w:rsid w:val="0075366B"/>
    <w:pPr>
      <w:spacing w:after="200" w:line="240" w:lineRule="auto"/>
    </w:pPr>
    <w:rPr>
      <w:i/>
      <w:iCs/>
      <w:color w:val="1F497D" w:themeColor="text2"/>
      <w:sz w:val="18"/>
      <w:szCs w:val="18"/>
    </w:rPr>
  </w:style>
  <w:style w:type="paragraph" w:styleId="aff7">
    <w:name w:val="Subtitle"/>
    <w:basedOn w:val="a"/>
    <w:next w:val="a"/>
    <w:link w:val="aff8"/>
    <w:uiPriority w:val="11"/>
    <w:qFormat/>
    <w:rsid w:val="0075366B"/>
    <w:pPr>
      <w:numPr>
        <w:ilvl w:val="1"/>
      </w:numPr>
    </w:pPr>
    <w:rPr>
      <w:color w:val="5A5A5A" w:themeColor="text1" w:themeTint="A5"/>
      <w:spacing w:val="15"/>
    </w:rPr>
  </w:style>
  <w:style w:type="character" w:customStyle="1" w:styleId="aff8">
    <w:name w:val="Підзаголовок Знак"/>
    <w:basedOn w:val="a0"/>
    <w:link w:val="aff7"/>
    <w:uiPriority w:val="11"/>
    <w:rsid w:val="0075366B"/>
    <w:rPr>
      <w:color w:val="5A5A5A" w:themeColor="text1" w:themeTint="A5"/>
      <w:spacing w:val="15"/>
    </w:rPr>
  </w:style>
  <w:style w:type="paragraph" w:styleId="aff9">
    <w:name w:val="No Spacing"/>
    <w:uiPriority w:val="1"/>
    <w:qFormat/>
    <w:rsid w:val="0075366B"/>
    <w:pPr>
      <w:spacing w:after="0" w:line="240" w:lineRule="auto"/>
    </w:pPr>
  </w:style>
  <w:style w:type="paragraph" w:styleId="affa">
    <w:name w:val="Quote"/>
    <w:basedOn w:val="a"/>
    <w:next w:val="a"/>
    <w:link w:val="affb"/>
    <w:uiPriority w:val="29"/>
    <w:qFormat/>
    <w:rsid w:val="0075366B"/>
    <w:pPr>
      <w:spacing w:before="200"/>
      <w:ind w:left="864" w:right="864"/>
    </w:pPr>
    <w:rPr>
      <w:i/>
      <w:iCs/>
      <w:color w:val="404040" w:themeColor="text1" w:themeTint="BF"/>
    </w:rPr>
  </w:style>
  <w:style w:type="character" w:customStyle="1" w:styleId="affb">
    <w:name w:val="Цитата Знак"/>
    <w:basedOn w:val="a0"/>
    <w:link w:val="affa"/>
    <w:uiPriority w:val="29"/>
    <w:rsid w:val="0075366B"/>
    <w:rPr>
      <w:i/>
      <w:iCs/>
      <w:color w:val="404040" w:themeColor="text1" w:themeTint="BF"/>
    </w:rPr>
  </w:style>
  <w:style w:type="paragraph" w:styleId="affc">
    <w:name w:val="Intense Quote"/>
    <w:basedOn w:val="a"/>
    <w:next w:val="a"/>
    <w:link w:val="affd"/>
    <w:uiPriority w:val="30"/>
    <w:qFormat/>
    <w:rsid w:val="0075366B"/>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affd">
    <w:name w:val="Насичена цитата Знак"/>
    <w:basedOn w:val="a0"/>
    <w:link w:val="affc"/>
    <w:uiPriority w:val="30"/>
    <w:rsid w:val="0075366B"/>
    <w:rPr>
      <w:i/>
      <w:iCs/>
      <w:color w:val="4F81BD" w:themeColor="accent1"/>
    </w:rPr>
  </w:style>
  <w:style w:type="character" w:styleId="affe">
    <w:name w:val="Intense Emphasis"/>
    <w:basedOn w:val="a0"/>
    <w:uiPriority w:val="21"/>
    <w:qFormat/>
    <w:rsid w:val="0075366B"/>
    <w:rPr>
      <w:i/>
      <w:iCs/>
      <w:color w:val="4F81BD" w:themeColor="accent1"/>
    </w:rPr>
  </w:style>
  <w:style w:type="character" w:styleId="afff">
    <w:name w:val="Subtle Reference"/>
    <w:basedOn w:val="a0"/>
    <w:uiPriority w:val="31"/>
    <w:qFormat/>
    <w:rsid w:val="0075366B"/>
    <w:rPr>
      <w:smallCaps/>
      <w:color w:val="404040" w:themeColor="text1" w:themeTint="BF"/>
    </w:rPr>
  </w:style>
  <w:style w:type="character" w:styleId="afff0">
    <w:name w:val="Intense Reference"/>
    <w:basedOn w:val="a0"/>
    <w:uiPriority w:val="32"/>
    <w:qFormat/>
    <w:rsid w:val="0075366B"/>
    <w:rPr>
      <w:b/>
      <w:bCs/>
      <w:smallCaps/>
      <w:color w:val="4F81BD" w:themeColor="accent1"/>
      <w:spacing w:val="5"/>
    </w:rPr>
  </w:style>
  <w:style w:type="character" w:styleId="afff1">
    <w:name w:val="Book Title"/>
    <w:basedOn w:val="a0"/>
    <w:uiPriority w:val="33"/>
    <w:qFormat/>
    <w:rsid w:val="0075366B"/>
    <w:rPr>
      <w:b/>
      <w:bCs/>
      <w:i/>
      <w:iCs/>
      <w:spacing w:val="5"/>
    </w:rPr>
  </w:style>
  <w:style w:type="table" w:customStyle="1" w:styleId="TableGrid">
    <w:name w:val="TableGrid"/>
    <w:rsid w:val="00C62E02"/>
    <w:pPr>
      <w:spacing w:after="0" w:line="240" w:lineRule="auto"/>
    </w:pPr>
    <w:rPr>
      <w:lang w:eastAsia="uk-UA"/>
    </w:rPr>
    <w:tblPr>
      <w:tblCellMar>
        <w:top w:w="0" w:type="dxa"/>
        <w:left w:w="0" w:type="dxa"/>
        <w:bottom w:w="0" w:type="dxa"/>
        <w:right w:w="0" w:type="dxa"/>
      </w:tblCellMar>
    </w:tblPr>
  </w:style>
  <w:style w:type="paragraph" w:styleId="25">
    <w:name w:val="envelope return"/>
    <w:basedOn w:val="a"/>
    <w:uiPriority w:val="99"/>
    <w:rsid w:val="00070266"/>
    <w:pPr>
      <w:spacing w:after="0" w:line="240" w:lineRule="auto"/>
    </w:pPr>
    <w:rPr>
      <w:rFonts w:ascii="Arial" w:eastAsia="Times New Roman" w:hAnsi="Arial" w:cs="Arial"/>
      <w:sz w:val="20"/>
      <w:szCs w:val="20"/>
      <w:lang w:eastAsia="ru-RU"/>
    </w:rPr>
  </w:style>
  <w:style w:type="paragraph" w:styleId="HTML">
    <w:name w:val="HTML Preformatted"/>
    <w:basedOn w:val="a"/>
    <w:link w:val="HTML0"/>
    <w:uiPriority w:val="99"/>
    <w:unhideWhenUsed/>
    <w:rsid w:val="00BD0A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Times New Roman"/>
      <w:sz w:val="20"/>
      <w:szCs w:val="20"/>
      <w:lang w:val="x-none" w:eastAsia="uk-UA"/>
    </w:rPr>
  </w:style>
  <w:style w:type="character" w:customStyle="1" w:styleId="HTML0">
    <w:name w:val="Стандартний HTML Знак"/>
    <w:basedOn w:val="a0"/>
    <w:link w:val="HTML"/>
    <w:uiPriority w:val="99"/>
    <w:rsid w:val="00BD0A00"/>
    <w:rPr>
      <w:rFonts w:ascii="Courier New" w:eastAsia="Times New Roman" w:hAnsi="Courier New" w:cs="Times New Roman"/>
      <w:sz w:val="20"/>
      <w:szCs w:val="20"/>
      <w:lang w:val="x-none" w:eastAsia="uk-UA"/>
    </w:rPr>
  </w:style>
  <w:style w:type="paragraph" w:customStyle="1" w:styleId="afff2">
    <w:name w:val="Обкладинка блоку"/>
    <w:basedOn w:val="a"/>
    <w:link w:val="Char"/>
    <w:qFormat/>
    <w:rsid w:val="00BA3238"/>
    <w:rPr>
      <w:rFonts w:asciiTheme="majorHAnsi" w:eastAsiaTheme="minorHAnsi" w:hAnsiTheme="majorHAnsi" w:cs="Arial"/>
      <w:b/>
      <w:caps/>
      <w:noProof/>
      <w:color w:val="4F81BD" w:themeColor="accent1"/>
      <w:sz w:val="48"/>
      <w:szCs w:val="32"/>
    </w:rPr>
  </w:style>
  <w:style w:type="character" w:customStyle="1" w:styleId="Char">
    <w:name w:val="Обкладинка блоку Char"/>
    <w:basedOn w:val="a0"/>
    <w:link w:val="afff2"/>
    <w:rsid w:val="00BA3238"/>
    <w:rPr>
      <w:rFonts w:asciiTheme="majorHAnsi" w:eastAsiaTheme="minorHAnsi" w:hAnsiTheme="majorHAnsi" w:cs="Arial"/>
      <w:b/>
      <w:caps/>
      <w:noProof/>
      <w:color w:val="4F81BD" w:themeColor="accent1"/>
      <w:sz w:val="48"/>
      <w:szCs w:val="32"/>
    </w:rPr>
  </w:style>
  <w:style w:type="paragraph" w:customStyle="1" w:styleId="13">
    <w:name w:val="1 Знак"/>
    <w:basedOn w:val="a"/>
    <w:next w:val="a"/>
    <w:rsid w:val="00106C16"/>
    <w:pPr>
      <w:spacing w:before="60" w:after="60" w:line="240" w:lineRule="auto"/>
      <w:ind w:firstLine="567"/>
      <w:jc w:val="both"/>
    </w:pPr>
    <w:rPr>
      <w:rFonts w:ascii="Times New Roman" w:eastAsia="Times New Roman" w:hAnsi="Times New Roman" w:cs="Times New Roman"/>
      <w:color w:val="000000"/>
      <w:sz w:val="26"/>
      <w:szCs w:val="26"/>
      <w:lang w:eastAsia="ru-RU"/>
    </w:rPr>
  </w:style>
  <w:style w:type="paragraph" w:styleId="26">
    <w:name w:val="toc 2"/>
    <w:basedOn w:val="a"/>
    <w:next w:val="a"/>
    <w:autoRedefine/>
    <w:uiPriority w:val="39"/>
    <w:unhideWhenUsed/>
    <w:rsid w:val="0017703B"/>
    <w:pPr>
      <w:spacing w:after="100" w:line="240" w:lineRule="auto"/>
      <w:ind w:left="220"/>
    </w:pPr>
    <w:rPr>
      <w:rFonts w:ascii="Times New Roman" w:eastAsia="Times New Roman" w:hAnsi="Times New Roman" w:cs="Times New Roman"/>
      <w:sz w:val="24"/>
      <w:szCs w:val="24"/>
      <w:lang w:eastAsia="uk-UA"/>
    </w:rPr>
  </w:style>
  <w:style w:type="paragraph" w:styleId="32">
    <w:name w:val="toc 3"/>
    <w:basedOn w:val="a"/>
    <w:next w:val="a"/>
    <w:autoRedefine/>
    <w:uiPriority w:val="39"/>
    <w:unhideWhenUsed/>
    <w:rsid w:val="0017703B"/>
    <w:pPr>
      <w:spacing w:after="100" w:line="240" w:lineRule="auto"/>
      <w:ind w:left="440"/>
    </w:pPr>
    <w:rPr>
      <w:rFonts w:ascii="Times New Roman" w:eastAsia="Times New Roman" w:hAnsi="Times New Roman" w:cs="Times New Roman"/>
      <w:sz w:val="24"/>
      <w:szCs w:val="24"/>
      <w:lang w:eastAsia="uk-UA"/>
    </w:rPr>
  </w:style>
  <w:style w:type="character" w:styleId="afff3">
    <w:name w:val="FollowedHyperlink"/>
    <w:basedOn w:val="a0"/>
    <w:uiPriority w:val="99"/>
    <w:semiHidden/>
    <w:unhideWhenUsed/>
    <w:rsid w:val="0017703B"/>
    <w:rPr>
      <w:color w:val="800080" w:themeColor="followedHyperlink"/>
      <w:u w:val="single"/>
    </w:rPr>
  </w:style>
  <w:style w:type="character" w:customStyle="1" w:styleId="rvts44">
    <w:name w:val="rvts44"/>
    <w:basedOn w:val="a0"/>
    <w:rsid w:val="0017703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9526605">
      <w:bodyDiv w:val="1"/>
      <w:marLeft w:val="0"/>
      <w:marRight w:val="0"/>
      <w:marTop w:val="0"/>
      <w:marBottom w:val="0"/>
      <w:divBdr>
        <w:top w:val="none" w:sz="0" w:space="0" w:color="auto"/>
        <w:left w:val="none" w:sz="0" w:space="0" w:color="auto"/>
        <w:bottom w:val="none" w:sz="0" w:space="0" w:color="auto"/>
        <w:right w:val="none" w:sz="0" w:space="0" w:color="auto"/>
      </w:divBdr>
    </w:div>
    <w:div w:id="177736881">
      <w:bodyDiv w:val="1"/>
      <w:marLeft w:val="0"/>
      <w:marRight w:val="0"/>
      <w:marTop w:val="0"/>
      <w:marBottom w:val="0"/>
      <w:divBdr>
        <w:top w:val="none" w:sz="0" w:space="0" w:color="auto"/>
        <w:left w:val="none" w:sz="0" w:space="0" w:color="auto"/>
        <w:bottom w:val="none" w:sz="0" w:space="0" w:color="auto"/>
        <w:right w:val="none" w:sz="0" w:space="0" w:color="auto"/>
      </w:divBdr>
    </w:div>
    <w:div w:id="204829880">
      <w:bodyDiv w:val="1"/>
      <w:marLeft w:val="0"/>
      <w:marRight w:val="0"/>
      <w:marTop w:val="0"/>
      <w:marBottom w:val="0"/>
      <w:divBdr>
        <w:top w:val="none" w:sz="0" w:space="0" w:color="auto"/>
        <w:left w:val="none" w:sz="0" w:space="0" w:color="auto"/>
        <w:bottom w:val="none" w:sz="0" w:space="0" w:color="auto"/>
        <w:right w:val="none" w:sz="0" w:space="0" w:color="auto"/>
      </w:divBdr>
    </w:div>
    <w:div w:id="392041296">
      <w:bodyDiv w:val="1"/>
      <w:marLeft w:val="0"/>
      <w:marRight w:val="0"/>
      <w:marTop w:val="0"/>
      <w:marBottom w:val="0"/>
      <w:divBdr>
        <w:top w:val="none" w:sz="0" w:space="0" w:color="auto"/>
        <w:left w:val="none" w:sz="0" w:space="0" w:color="auto"/>
        <w:bottom w:val="none" w:sz="0" w:space="0" w:color="auto"/>
        <w:right w:val="none" w:sz="0" w:space="0" w:color="auto"/>
      </w:divBdr>
    </w:div>
    <w:div w:id="484056954">
      <w:bodyDiv w:val="1"/>
      <w:marLeft w:val="0"/>
      <w:marRight w:val="0"/>
      <w:marTop w:val="0"/>
      <w:marBottom w:val="0"/>
      <w:divBdr>
        <w:top w:val="none" w:sz="0" w:space="0" w:color="auto"/>
        <w:left w:val="none" w:sz="0" w:space="0" w:color="auto"/>
        <w:bottom w:val="none" w:sz="0" w:space="0" w:color="auto"/>
        <w:right w:val="none" w:sz="0" w:space="0" w:color="auto"/>
      </w:divBdr>
    </w:div>
    <w:div w:id="485821685">
      <w:bodyDiv w:val="1"/>
      <w:marLeft w:val="0"/>
      <w:marRight w:val="0"/>
      <w:marTop w:val="0"/>
      <w:marBottom w:val="0"/>
      <w:divBdr>
        <w:top w:val="none" w:sz="0" w:space="0" w:color="auto"/>
        <w:left w:val="none" w:sz="0" w:space="0" w:color="auto"/>
        <w:bottom w:val="none" w:sz="0" w:space="0" w:color="auto"/>
        <w:right w:val="none" w:sz="0" w:space="0" w:color="auto"/>
      </w:divBdr>
    </w:div>
    <w:div w:id="649090308">
      <w:bodyDiv w:val="1"/>
      <w:marLeft w:val="0"/>
      <w:marRight w:val="0"/>
      <w:marTop w:val="0"/>
      <w:marBottom w:val="0"/>
      <w:divBdr>
        <w:top w:val="none" w:sz="0" w:space="0" w:color="auto"/>
        <w:left w:val="none" w:sz="0" w:space="0" w:color="auto"/>
        <w:bottom w:val="none" w:sz="0" w:space="0" w:color="auto"/>
        <w:right w:val="none" w:sz="0" w:space="0" w:color="auto"/>
      </w:divBdr>
    </w:div>
    <w:div w:id="791248480">
      <w:bodyDiv w:val="1"/>
      <w:marLeft w:val="0"/>
      <w:marRight w:val="0"/>
      <w:marTop w:val="0"/>
      <w:marBottom w:val="0"/>
      <w:divBdr>
        <w:top w:val="none" w:sz="0" w:space="0" w:color="auto"/>
        <w:left w:val="none" w:sz="0" w:space="0" w:color="auto"/>
        <w:bottom w:val="none" w:sz="0" w:space="0" w:color="auto"/>
        <w:right w:val="none" w:sz="0" w:space="0" w:color="auto"/>
      </w:divBdr>
    </w:div>
    <w:div w:id="807555965">
      <w:bodyDiv w:val="1"/>
      <w:marLeft w:val="0"/>
      <w:marRight w:val="0"/>
      <w:marTop w:val="0"/>
      <w:marBottom w:val="0"/>
      <w:divBdr>
        <w:top w:val="none" w:sz="0" w:space="0" w:color="auto"/>
        <w:left w:val="none" w:sz="0" w:space="0" w:color="auto"/>
        <w:bottom w:val="none" w:sz="0" w:space="0" w:color="auto"/>
        <w:right w:val="none" w:sz="0" w:space="0" w:color="auto"/>
      </w:divBdr>
    </w:div>
    <w:div w:id="877010843">
      <w:bodyDiv w:val="1"/>
      <w:marLeft w:val="0"/>
      <w:marRight w:val="0"/>
      <w:marTop w:val="0"/>
      <w:marBottom w:val="0"/>
      <w:divBdr>
        <w:top w:val="none" w:sz="0" w:space="0" w:color="auto"/>
        <w:left w:val="none" w:sz="0" w:space="0" w:color="auto"/>
        <w:bottom w:val="none" w:sz="0" w:space="0" w:color="auto"/>
        <w:right w:val="none" w:sz="0" w:space="0" w:color="auto"/>
      </w:divBdr>
    </w:div>
    <w:div w:id="953362401">
      <w:bodyDiv w:val="1"/>
      <w:marLeft w:val="0"/>
      <w:marRight w:val="0"/>
      <w:marTop w:val="0"/>
      <w:marBottom w:val="0"/>
      <w:divBdr>
        <w:top w:val="none" w:sz="0" w:space="0" w:color="auto"/>
        <w:left w:val="none" w:sz="0" w:space="0" w:color="auto"/>
        <w:bottom w:val="none" w:sz="0" w:space="0" w:color="auto"/>
        <w:right w:val="none" w:sz="0" w:space="0" w:color="auto"/>
      </w:divBdr>
    </w:div>
    <w:div w:id="1081832554">
      <w:bodyDiv w:val="1"/>
      <w:marLeft w:val="0"/>
      <w:marRight w:val="0"/>
      <w:marTop w:val="0"/>
      <w:marBottom w:val="0"/>
      <w:divBdr>
        <w:top w:val="none" w:sz="0" w:space="0" w:color="auto"/>
        <w:left w:val="none" w:sz="0" w:space="0" w:color="auto"/>
        <w:bottom w:val="none" w:sz="0" w:space="0" w:color="auto"/>
        <w:right w:val="none" w:sz="0" w:space="0" w:color="auto"/>
      </w:divBdr>
    </w:div>
    <w:div w:id="1114596686">
      <w:bodyDiv w:val="1"/>
      <w:marLeft w:val="0"/>
      <w:marRight w:val="0"/>
      <w:marTop w:val="0"/>
      <w:marBottom w:val="0"/>
      <w:divBdr>
        <w:top w:val="none" w:sz="0" w:space="0" w:color="auto"/>
        <w:left w:val="none" w:sz="0" w:space="0" w:color="auto"/>
        <w:bottom w:val="none" w:sz="0" w:space="0" w:color="auto"/>
        <w:right w:val="none" w:sz="0" w:space="0" w:color="auto"/>
      </w:divBdr>
    </w:div>
    <w:div w:id="1144392790">
      <w:bodyDiv w:val="1"/>
      <w:marLeft w:val="0"/>
      <w:marRight w:val="0"/>
      <w:marTop w:val="0"/>
      <w:marBottom w:val="0"/>
      <w:divBdr>
        <w:top w:val="none" w:sz="0" w:space="0" w:color="auto"/>
        <w:left w:val="none" w:sz="0" w:space="0" w:color="auto"/>
        <w:bottom w:val="none" w:sz="0" w:space="0" w:color="auto"/>
        <w:right w:val="none" w:sz="0" w:space="0" w:color="auto"/>
      </w:divBdr>
    </w:div>
    <w:div w:id="1151754651">
      <w:bodyDiv w:val="1"/>
      <w:marLeft w:val="0"/>
      <w:marRight w:val="0"/>
      <w:marTop w:val="0"/>
      <w:marBottom w:val="0"/>
      <w:divBdr>
        <w:top w:val="none" w:sz="0" w:space="0" w:color="auto"/>
        <w:left w:val="none" w:sz="0" w:space="0" w:color="auto"/>
        <w:bottom w:val="none" w:sz="0" w:space="0" w:color="auto"/>
        <w:right w:val="none" w:sz="0" w:space="0" w:color="auto"/>
      </w:divBdr>
    </w:div>
    <w:div w:id="1160583191">
      <w:bodyDiv w:val="1"/>
      <w:marLeft w:val="0"/>
      <w:marRight w:val="0"/>
      <w:marTop w:val="0"/>
      <w:marBottom w:val="0"/>
      <w:divBdr>
        <w:top w:val="none" w:sz="0" w:space="0" w:color="auto"/>
        <w:left w:val="none" w:sz="0" w:space="0" w:color="auto"/>
        <w:bottom w:val="none" w:sz="0" w:space="0" w:color="auto"/>
        <w:right w:val="none" w:sz="0" w:space="0" w:color="auto"/>
      </w:divBdr>
    </w:div>
    <w:div w:id="1289706804">
      <w:bodyDiv w:val="1"/>
      <w:marLeft w:val="0"/>
      <w:marRight w:val="0"/>
      <w:marTop w:val="0"/>
      <w:marBottom w:val="0"/>
      <w:divBdr>
        <w:top w:val="none" w:sz="0" w:space="0" w:color="auto"/>
        <w:left w:val="none" w:sz="0" w:space="0" w:color="auto"/>
        <w:bottom w:val="none" w:sz="0" w:space="0" w:color="auto"/>
        <w:right w:val="none" w:sz="0" w:space="0" w:color="auto"/>
      </w:divBdr>
    </w:div>
    <w:div w:id="1318923643">
      <w:bodyDiv w:val="1"/>
      <w:marLeft w:val="0"/>
      <w:marRight w:val="0"/>
      <w:marTop w:val="0"/>
      <w:marBottom w:val="0"/>
      <w:divBdr>
        <w:top w:val="none" w:sz="0" w:space="0" w:color="auto"/>
        <w:left w:val="none" w:sz="0" w:space="0" w:color="auto"/>
        <w:bottom w:val="none" w:sz="0" w:space="0" w:color="auto"/>
        <w:right w:val="none" w:sz="0" w:space="0" w:color="auto"/>
      </w:divBdr>
    </w:div>
    <w:div w:id="1436486630">
      <w:bodyDiv w:val="1"/>
      <w:marLeft w:val="0"/>
      <w:marRight w:val="0"/>
      <w:marTop w:val="0"/>
      <w:marBottom w:val="0"/>
      <w:divBdr>
        <w:top w:val="none" w:sz="0" w:space="0" w:color="auto"/>
        <w:left w:val="none" w:sz="0" w:space="0" w:color="auto"/>
        <w:bottom w:val="none" w:sz="0" w:space="0" w:color="auto"/>
        <w:right w:val="none" w:sz="0" w:space="0" w:color="auto"/>
      </w:divBdr>
    </w:div>
    <w:div w:id="1457334111">
      <w:bodyDiv w:val="1"/>
      <w:marLeft w:val="0"/>
      <w:marRight w:val="0"/>
      <w:marTop w:val="0"/>
      <w:marBottom w:val="0"/>
      <w:divBdr>
        <w:top w:val="none" w:sz="0" w:space="0" w:color="auto"/>
        <w:left w:val="none" w:sz="0" w:space="0" w:color="auto"/>
        <w:bottom w:val="none" w:sz="0" w:space="0" w:color="auto"/>
        <w:right w:val="none" w:sz="0" w:space="0" w:color="auto"/>
      </w:divBdr>
    </w:div>
    <w:div w:id="1605764134">
      <w:bodyDiv w:val="1"/>
      <w:marLeft w:val="0"/>
      <w:marRight w:val="0"/>
      <w:marTop w:val="0"/>
      <w:marBottom w:val="0"/>
      <w:divBdr>
        <w:top w:val="none" w:sz="0" w:space="0" w:color="auto"/>
        <w:left w:val="none" w:sz="0" w:space="0" w:color="auto"/>
        <w:bottom w:val="none" w:sz="0" w:space="0" w:color="auto"/>
        <w:right w:val="none" w:sz="0" w:space="0" w:color="auto"/>
      </w:divBdr>
    </w:div>
    <w:div w:id="1605770002">
      <w:bodyDiv w:val="1"/>
      <w:marLeft w:val="0"/>
      <w:marRight w:val="0"/>
      <w:marTop w:val="0"/>
      <w:marBottom w:val="0"/>
      <w:divBdr>
        <w:top w:val="none" w:sz="0" w:space="0" w:color="auto"/>
        <w:left w:val="none" w:sz="0" w:space="0" w:color="auto"/>
        <w:bottom w:val="none" w:sz="0" w:space="0" w:color="auto"/>
        <w:right w:val="none" w:sz="0" w:space="0" w:color="auto"/>
      </w:divBdr>
    </w:div>
    <w:div w:id="1682854996">
      <w:bodyDiv w:val="1"/>
      <w:marLeft w:val="0"/>
      <w:marRight w:val="0"/>
      <w:marTop w:val="0"/>
      <w:marBottom w:val="0"/>
      <w:divBdr>
        <w:top w:val="none" w:sz="0" w:space="0" w:color="auto"/>
        <w:left w:val="none" w:sz="0" w:space="0" w:color="auto"/>
        <w:bottom w:val="none" w:sz="0" w:space="0" w:color="auto"/>
        <w:right w:val="none" w:sz="0" w:space="0" w:color="auto"/>
      </w:divBdr>
    </w:div>
    <w:div w:id="1817643778">
      <w:bodyDiv w:val="1"/>
      <w:marLeft w:val="0"/>
      <w:marRight w:val="0"/>
      <w:marTop w:val="0"/>
      <w:marBottom w:val="0"/>
      <w:divBdr>
        <w:top w:val="none" w:sz="0" w:space="0" w:color="auto"/>
        <w:left w:val="none" w:sz="0" w:space="0" w:color="auto"/>
        <w:bottom w:val="none" w:sz="0" w:space="0" w:color="auto"/>
        <w:right w:val="none" w:sz="0" w:space="0" w:color="auto"/>
      </w:divBdr>
    </w:div>
    <w:div w:id="1835798571">
      <w:bodyDiv w:val="1"/>
      <w:marLeft w:val="0"/>
      <w:marRight w:val="0"/>
      <w:marTop w:val="0"/>
      <w:marBottom w:val="0"/>
      <w:divBdr>
        <w:top w:val="none" w:sz="0" w:space="0" w:color="auto"/>
        <w:left w:val="none" w:sz="0" w:space="0" w:color="auto"/>
        <w:bottom w:val="none" w:sz="0" w:space="0" w:color="auto"/>
        <w:right w:val="none" w:sz="0" w:space="0" w:color="auto"/>
      </w:divBdr>
    </w:div>
    <w:div w:id="1919900595">
      <w:bodyDiv w:val="1"/>
      <w:marLeft w:val="0"/>
      <w:marRight w:val="0"/>
      <w:marTop w:val="0"/>
      <w:marBottom w:val="0"/>
      <w:divBdr>
        <w:top w:val="none" w:sz="0" w:space="0" w:color="auto"/>
        <w:left w:val="none" w:sz="0" w:space="0" w:color="auto"/>
        <w:bottom w:val="none" w:sz="0" w:space="0" w:color="auto"/>
        <w:right w:val="none" w:sz="0" w:space="0" w:color="auto"/>
      </w:divBdr>
    </w:div>
    <w:div w:id="1923222102">
      <w:bodyDiv w:val="1"/>
      <w:marLeft w:val="0"/>
      <w:marRight w:val="0"/>
      <w:marTop w:val="0"/>
      <w:marBottom w:val="0"/>
      <w:divBdr>
        <w:top w:val="none" w:sz="0" w:space="0" w:color="auto"/>
        <w:left w:val="none" w:sz="0" w:space="0" w:color="auto"/>
        <w:bottom w:val="none" w:sz="0" w:space="0" w:color="auto"/>
        <w:right w:val="none" w:sz="0" w:space="0" w:color="auto"/>
      </w:divBdr>
    </w:div>
    <w:div w:id="1945571415">
      <w:bodyDiv w:val="1"/>
      <w:marLeft w:val="0"/>
      <w:marRight w:val="0"/>
      <w:marTop w:val="0"/>
      <w:marBottom w:val="0"/>
      <w:divBdr>
        <w:top w:val="none" w:sz="0" w:space="0" w:color="auto"/>
        <w:left w:val="none" w:sz="0" w:space="0" w:color="auto"/>
        <w:bottom w:val="none" w:sz="0" w:space="0" w:color="auto"/>
        <w:right w:val="none" w:sz="0" w:space="0" w:color="auto"/>
      </w:divBdr>
    </w:div>
    <w:div w:id="2085178513">
      <w:bodyDiv w:val="1"/>
      <w:marLeft w:val="0"/>
      <w:marRight w:val="0"/>
      <w:marTop w:val="0"/>
      <w:marBottom w:val="0"/>
      <w:divBdr>
        <w:top w:val="none" w:sz="0" w:space="0" w:color="auto"/>
        <w:left w:val="none" w:sz="0" w:space="0" w:color="auto"/>
        <w:bottom w:val="none" w:sz="0" w:space="0" w:color="auto"/>
        <w:right w:val="none" w:sz="0" w:space="0" w:color="auto"/>
      </w:divBdr>
    </w:div>
    <w:div w:id="21264589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oi.org/10.26531/vnbu2018.245.03" TargetMode="External"/><Relationship Id="rId18" Type="http://schemas.openxmlformats.org/officeDocument/2006/relationships/chart" Target="charts/chart5.xml"/><Relationship Id="rId26" Type="http://schemas.openxmlformats.org/officeDocument/2006/relationships/chart" Target="charts/chart10.xml"/><Relationship Id="rId39" Type="http://schemas.openxmlformats.org/officeDocument/2006/relationships/chart" Target="charts/chart23.xml"/><Relationship Id="rId21" Type="http://schemas.openxmlformats.org/officeDocument/2006/relationships/chart" Target="charts/chart8.xml"/><Relationship Id="rId34" Type="http://schemas.openxmlformats.org/officeDocument/2006/relationships/chart" Target="charts/chart18.xml"/><Relationship Id="rId42" Type="http://schemas.openxmlformats.org/officeDocument/2006/relationships/fontTable" Target="fontTable.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chart" Target="charts/chart3.xml"/><Relationship Id="rId20" Type="http://schemas.openxmlformats.org/officeDocument/2006/relationships/chart" Target="charts/chart7.xml"/><Relationship Id="rId29" Type="http://schemas.openxmlformats.org/officeDocument/2006/relationships/chart" Target="charts/chart13.xml"/><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finbalance.com.ua/news/ofis-prezidenta---pro-ipoteku-pid-7-ta-lizinh-zhitla-pid-5" TargetMode="External"/><Relationship Id="rId32" Type="http://schemas.openxmlformats.org/officeDocument/2006/relationships/chart" Target="charts/chart16.xml"/><Relationship Id="rId37" Type="http://schemas.openxmlformats.org/officeDocument/2006/relationships/chart" Target="charts/chart21.xml"/><Relationship Id="rId40" Type="http://schemas.openxmlformats.org/officeDocument/2006/relationships/chart" Target="charts/chart24.xml"/><Relationship Id="rId5" Type="http://schemas.openxmlformats.org/officeDocument/2006/relationships/customXml" Target="../customXml/item5.xml"/><Relationship Id="rId15" Type="http://schemas.openxmlformats.org/officeDocument/2006/relationships/chart" Target="charts/chart2.xml"/><Relationship Id="rId23" Type="http://schemas.openxmlformats.org/officeDocument/2006/relationships/hyperlink" Target="http://finbalance.com.ua/news/ukrfinzhitlo-otrima-ovdp-na-20-mlrd-hrn-vr-priynyala-zakon" TargetMode="External"/><Relationship Id="rId28" Type="http://schemas.openxmlformats.org/officeDocument/2006/relationships/chart" Target="charts/chart12.xml"/><Relationship Id="rId36" Type="http://schemas.openxmlformats.org/officeDocument/2006/relationships/chart" Target="charts/chart20.xml"/><Relationship Id="rId10" Type="http://schemas.openxmlformats.org/officeDocument/2006/relationships/footnotes" Target="footnotes.xml"/><Relationship Id="rId19" Type="http://schemas.openxmlformats.org/officeDocument/2006/relationships/chart" Target="charts/chart6.xml"/><Relationship Id="rId31" Type="http://schemas.openxmlformats.org/officeDocument/2006/relationships/chart" Target="charts/chart15.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chart" Target="charts/chart1.xml"/><Relationship Id="rId22" Type="http://schemas.openxmlformats.org/officeDocument/2006/relationships/chart" Target="charts/chart9.xml"/><Relationship Id="rId27" Type="http://schemas.openxmlformats.org/officeDocument/2006/relationships/chart" Target="charts/chart11.xml"/><Relationship Id="rId30" Type="http://schemas.openxmlformats.org/officeDocument/2006/relationships/chart" Target="charts/chart14.xml"/><Relationship Id="rId35" Type="http://schemas.openxmlformats.org/officeDocument/2006/relationships/chart" Target="charts/chart19.xml"/><Relationship Id="rId43" Type="http://schemas.openxmlformats.org/officeDocument/2006/relationships/theme" Target="theme/theme1.xml"/><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chart" Target="charts/chart4.xml"/><Relationship Id="rId25" Type="http://schemas.openxmlformats.org/officeDocument/2006/relationships/hyperlink" Target="http://finbalance.com.ua/news/ofis-prezidenta---pro-ipoteku-pid-7-ta-lizinh-zhitla-pid-5" TargetMode="External"/><Relationship Id="rId33" Type="http://schemas.openxmlformats.org/officeDocument/2006/relationships/chart" Target="charts/chart17.xml"/><Relationship Id="rId38" Type="http://schemas.openxmlformats.org/officeDocument/2006/relationships/chart" Target="charts/chart22.xml"/></Relationships>
</file>

<file path=word/charts/_rels/chart1.xml.rels><?xml version="1.0" encoding="UTF-8" standalone="yes"?>
<Relationships xmlns="http://schemas.openxmlformats.org/package/2006/relationships"><Relationship Id="rId3" Type="http://schemas.openxmlformats.org/officeDocument/2006/relationships/oleObject" Target="file:///C:\Users\lutak\Downloads\2_&#1063;&#1072;&#1089;&#1090;&#1082;&#1072;__&#1076;&#1077;&#1088;&#1078;&#1072;&#1074;&#1085;&#1086;&#1075;&#1086;_&#1089;&#1077;&#1082;&#1090;&#1086;&#1088;&#1091;_&#1091;_&#1089;&#1082;&#1083;&#1072;&#1076;&#1110;_&#1077;&#1082;&#1086;&#1085;&#1086;&#1084;&#1110;&#1082;&#1080;_&#1079;&#1072;_2019_&#1088;&#1110;&#1082;_xlsx.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lutak\Documents\&#1060;&#1110;&#1089;&#1082;&#1072;&#1083;&#1100;&#1085;&#1110;%20&#1088;&#1080;&#1079;&#1080;&#1082;&#1080;\2021\&#1047;&#1072;&#1087;&#1080;&#1090;&#1080;\&#1057;&#1091;&#1073;_&#1108;&#1082;&#1090;&#1080;%20&#1075;&#1086;&#1089;&#1087;&#1086;&#1076;&#1072;&#1088;&#1102;&#1074;&#1072;&#1085;&#1085;&#1103;\&#1043;&#1088;&#1072;&#1092;&#1110;&#1082;&#1080;_.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lutak\Documents\&#1060;&#1110;&#1089;&#1082;&#1072;&#1083;&#1100;&#1085;&#1110;%20&#1088;&#1080;&#1079;&#1080;&#1082;&#1080;\2021\&#1047;&#1072;&#1087;&#1080;&#1090;&#1080;\&#1057;&#1091;&#1073;_&#1108;&#1082;&#1090;&#1080;%20&#1075;&#1086;&#1089;&#1087;&#1086;&#1076;&#1072;&#1088;&#1102;&#1074;&#1072;&#1085;&#1085;&#1103;\&#1043;&#1088;&#1072;&#1092;&#1110;&#1082;&#1080;_.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lutak\Documents\&#1060;&#1110;&#1089;&#1082;&#1072;&#1083;&#1100;&#1085;&#1110;%20&#1088;&#1080;&#1079;&#1080;&#1082;&#1080;\2021\&#1047;&#1072;&#1087;&#1080;&#1090;&#1080;\&#1057;&#1091;&#1073;_&#1108;&#1082;&#1090;&#1080;%20&#1075;&#1086;&#1089;&#1087;&#1086;&#1076;&#1072;&#1088;&#1102;&#1074;&#1072;&#1085;&#1085;&#1103;\&#1043;&#1088;&#1072;&#1092;&#1110;&#1082;&#1080;_.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lutak\Documents\&#1060;&#1110;&#1089;&#1082;&#1072;&#1083;&#1100;&#1085;&#1110;%20&#1088;&#1080;&#1079;&#1080;&#1082;&#1080;\2021\&#1047;&#1072;&#1087;&#1080;&#1090;&#1080;\&#1057;&#1091;&#1073;_&#1108;&#1082;&#1090;&#1080;%20&#1075;&#1086;&#1089;&#1087;&#1086;&#1076;&#1072;&#1088;&#1102;&#1074;&#1072;&#1085;&#1085;&#1103;\&#1043;&#1088;&#1072;&#1092;&#1110;&#1082;&#1080;_.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lutak\Documents\&#1060;&#1110;&#1089;&#1082;&#1072;&#1083;&#1100;&#1085;&#1110;%20&#1088;&#1080;&#1079;&#1080;&#1082;&#1080;\2021\&#1052;&#1086;&#1076;&#1077;&#1083;&#1102;&#1074;&#1072;&#1085;&#1085;&#1103;\&#1057;&#1091;&#1073;_&#1108;&#1082;&#1090;&#1080;%20&#1075;&#1086;&#1089;&#1087;&#1086;&#1076;&#1072;&#1088;&#1102;&#1074;&#1072;&#1085;&#1085;&#1103;\&#1043;&#1088;&#1072;&#1092;&#1110;&#1082;&#1080;_.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C:\Users\lutak\Documents\&#1060;&#1110;&#1089;&#1082;&#1072;&#1083;&#1100;&#1085;&#1110;%20&#1088;&#1080;&#1079;&#1080;&#1082;&#1080;\2021\&#1047;&#1072;&#1087;&#1080;&#1090;&#1080;\&#1057;&#1091;&#1073;_&#1108;&#1082;&#1090;&#1080;%20&#1075;&#1086;&#1089;&#1087;&#1086;&#1076;&#1072;&#1088;&#1102;&#1074;&#1072;&#1085;&#1085;&#1103;\&#1043;&#1088;&#1072;&#1092;&#1110;&#1082;&#1080;_.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C:\Users\lutak\Documents\&#1060;&#1110;&#1089;&#1082;&#1072;&#1083;&#1100;&#1085;&#1110;%20&#1088;&#1080;&#1079;&#1080;&#1082;&#1080;\2021\&#1047;&#1072;&#1087;&#1080;&#1090;&#1080;\&#1057;&#1091;&#1073;_&#1108;&#1082;&#1090;&#1080;%20&#1075;&#1086;&#1089;&#1087;&#1086;&#1076;&#1072;&#1088;&#1102;&#1074;&#1072;&#1085;&#1085;&#1103;\&#1043;&#1088;&#1072;&#1092;&#1110;&#1082;&#1080;_.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oleObject" Target="file:///C:\Users\lutak\Documents\&#1060;&#1110;&#1089;&#1082;&#1072;&#1083;&#1100;&#1085;&#1110;%20&#1088;&#1080;&#1079;&#1080;&#1082;&#1080;\2021\&#1047;&#1072;&#1087;&#1080;&#1090;&#1080;\&#1057;&#1091;&#1073;_&#1108;&#1082;&#1090;&#1080;%20&#1075;&#1086;&#1089;&#1087;&#1086;&#1076;&#1072;&#1088;&#1102;&#1074;&#1072;&#1085;&#1085;&#1103;\&#1043;&#1088;&#1072;&#1092;&#1110;&#1082;&#1080;_.xlsx" TargetMode="External"/><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1" Type="http://schemas.openxmlformats.org/officeDocument/2006/relationships/oleObject" Target="file:///C:\Users\lutak\Documents\&#1060;&#1110;&#1089;&#1082;&#1072;&#1083;&#1100;&#1085;&#1110;%20&#1088;&#1080;&#1079;&#1080;&#1082;&#1080;\2021\&#1047;&#1072;&#1087;&#1080;&#1090;&#1080;\&#1057;&#1091;&#1073;_&#1108;&#1082;&#1090;&#1080;%20&#1075;&#1086;&#1089;&#1087;&#1086;&#1076;&#1072;&#1088;&#1102;&#1074;&#1072;&#1085;&#1085;&#1103;\&#1043;&#1088;&#1072;&#1092;&#1110;&#1082;&#1080;_.xlsx" TargetMode="External"/></Relationships>
</file>

<file path=word/charts/_rels/chart11.xml.rels><?xml version="1.0" encoding="UTF-8" standalone="yes"?>
<Relationships xmlns="http://schemas.openxmlformats.org/package/2006/relationships"><Relationship Id="rId3" Type="http://schemas.openxmlformats.org/officeDocument/2006/relationships/package" Target="../embeddings/______Microsoft_Excel.xlsx"/><Relationship Id="rId2" Type="http://schemas.microsoft.com/office/2011/relationships/chartColorStyle" Target="colors10.xml"/><Relationship Id="rId1" Type="http://schemas.microsoft.com/office/2011/relationships/chartStyle" Target="style10.xml"/></Relationships>
</file>

<file path=word/charts/_rels/chart12.xml.rels><?xml version="1.0" encoding="UTF-8" standalone="yes"?>
<Relationships xmlns="http://schemas.openxmlformats.org/package/2006/relationships"><Relationship Id="rId1" Type="http://schemas.openxmlformats.org/officeDocument/2006/relationships/oleObject" Target="file:///C:\Users\lutak\Documents\&#1060;&#1110;&#1089;&#1082;&#1072;&#1083;&#1100;&#1085;&#1110;%20&#1088;&#1080;&#1079;&#1080;&#1082;&#1080;\2021\&#1047;&#1072;&#1087;&#1080;&#1090;&#1080;\&#1057;&#1091;&#1073;_&#1108;&#1082;&#1090;&#1080;%20&#1075;&#1086;&#1089;&#1087;&#1086;&#1076;&#1072;&#1088;&#1102;&#1074;&#1072;&#1085;&#1085;&#1103;\&#1053;&#1040;&#1050;%20&#1053;&#1072;&#1092;&#1090;&#1086;&#1075;&#1072;&#1079;\&#1053;&#1040;&#1050;_Naftogaz_model_.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C:\Users\lutak\Documents\&#1060;&#1110;&#1089;&#1082;&#1072;&#1083;&#1100;&#1085;&#1110;%20&#1088;&#1080;&#1079;&#1080;&#1082;&#1080;\2021\&#1047;&#1072;&#1087;&#1080;&#1090;&#1080;\&#1057;&#1091;&#1073;_&#1108;&#1082;&#1090;&#1080;%20&#1075;&#1086;&#1089;&#1087;&#1086;&#1076;&#1072;&#1088;&#1102;&#1074;&#1072;&#1085;&#1085;&#1103;\&#1053;&#1040;&#1050;%20&#1053;&#1072;&#1092;&#1090;&#1086;&#1075;&#1072;&#1079;\&#1053;&#1040;&#1050;_Naftogaz_model_.xlsx"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C:\Users\lutak\Documents\&#1060;&#1110;&#1089;&#1082;&#1072;&#1083;&#1100;&#1085;&#1110;%20&#1088;&#1080;&#1079;&#1080;&#1082;&#1080;\2021\&#1047;&#1072;&#1087;&#1080;&#1090;&#1080;\&#1057;&#1091;&#1073;_&#1108;&#1082;&#1090;&#1080;%20&#1075;&#1086;&#1089;&#1087;&#1086;&#1076;&#1072;&#1088;&#1102;&#1074;&#1072;&#1085;&#1085;&#1103;\&#1053;&#1040;&#1050;%20&#1053;&#1072;&#1092;&#1090;&#1086;&#1075;&#1072;&#1079;\&#1053;&#1040;&#1050;_Naftogaz_model_.xlsx"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file:///C:\Users\lutak\Documents\&#1060;&#1110;&#1089;&#1082;&#1072;&#1083;&#1100;&#1085;&#1110;%20&#1088;&#1080;&#1079;&#1080;&#1082;&#1080;\2021\&#1047;&#1072;&#1087;&#1080;&#1090;&#1080;\&#1057;&#1091;&#1073;_&#1108;&#1082;&#1090;&#1080;%20&#1075;&#1086;&#1089;&#1087;&#1086;&#1076;&#1072;&#1088;&#1102;&#1074;&#1072;&#1085;&#1085;&#1103;\&#1059;&#1047;\&#1059;&#1082;&#1088;&#1079;&#1072;&#1083;&#1110;&#1079;&#1085;&#1080;&#1094;&#1103;_model2.xlsx"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file:///C:\Users\lutak\Documents\&#1060;&#1110;&#1089;&#1082;&#1072;&#1083;&#1100;&#1085;&#1110;%20&#1088;&#1080;&#1079;&#1080;&#1082;&#1080;\2021\&#1047;&#1072;&#1087;&#1080;&#1090;&#1080;\&#1057;&#1091;&#1073;_&#1108;&#1082;&#1090;&#1080;%20&#1075;&#1086;&#1089;&#1087;&#1086;&#1076;&#1072;&#1088;&#1102;&#1074;&#1072;&#1085;&#1085;&#1103;\&#1059;&#1047;\&#1059;&#1082;&#1088;&#1079;&#1072;&#1083;&#1110;&#1079;&#1085;&#1080;&#1094;&#1103;_model2.xlsx" TargetMode="External"/></Relationships>
</file>

<file path=word/charts/_rels/chart17.xml.rels><?xml version="1.0" encoding="UTF-8" standalone="yes"?>
<Relationships xmlns="http://schemas.openxmlformats.org/package/2006/relationships"><Relationship Id="rId1" Type="http://schemas.openxmlformats.org/officeDocument/2006/relationships/oleObject" Target="file:///C:\Users\lutak\Documents\&#1060;&#1110;&#1089;&#1082;&#1072;&#1083;&#1100;&#1085;&#1110;%20&#1088;&#1080;&#1079;&#1080;&#1082;&#1080;\2021\&#1047;&#1072;&#1087;&#1080;&#1090;&#1080;\&#1057;&#1091;&#1073;_&#1108;&#1082;&#1090;&#1080;%20&#1075;&#1086;&#1089;&#1087;&#1086;&#1076;&#1072;&#1088;&#1102;&#1074;&#1072;&#1085;&#1085;&#1103;\&#1059;&#1047;\&#1059;&#1082;&#1088;&#1079;&#1072;&#1083;&#1110;&#1079;&#1085;&#1080;&#1094;&#1103;_model2.xlsx" TargetMode="External"/></Relationships>
</file>

<file path=word/charts/_rels/chart18.xml.rels><?xml version="1.0" encoding="UTF-8" standalone="yes"?>
<Relationships xmlns="http://schemas.openxmlformats.org/package/2006/relationships"><Relationship Id="rId1" Type="http://schemas.openxmlformats.org/officeDocument/2006/relationships/oleObject" Target="file:///C:\Users\lutak\Documents\&#1060;&#1110;&#1089;&#1082;&#1072;&#1083;&#1100;&#1085;&#1110;%20&#1088;&#1080;&#1079;&#1080;&#1082;&#1080;\2021\&#1047;&#1072;&#1087;&#1080;&#1090;&#1080;\&#1057;&#1091;&#1073;_&#1108;&#1082;&#1090;&#1080;%20&#1075;&#1086;&#1089;&#1087;&#1086;&#1076;&#1072;&#1088;&#1102;&#1074;&#1072;&#1085;&#1085;&#1103;\&#1059;&#1045;\&#1059;&#1082;&#1088;&#1077;&#1085;&#1077;&#1088;&#1075;&#1086;_model.xlsx" TargetMode="External"/></Relationships>
</file>

<file path=word/charts/_rels/chart19.xml.rels><?xml version="1.0" encoding="UTF-8" standalone="yes"?>
<Relationships xmlns="http://schemas.openxmlformats.org/package/2006/relationships"><Relationship Id="rId1" Type="http://schemas.openxmlformats.org/officeDocument/2006/relationships/oleObject" Target="file:///C:\Users\lutak\Documents\&#1060;&#1110;&#1089;&#1082;&#1072;&#1083;&#1100;&#1085;&#1110;%20&#1088;&#1080;&#1079;&#1080;&#1082;&#1080;\2021\&#1047;&#1072;&#1087;&#1080;&#1090;&#1080;\&#1057;&#1091;&#1073;_&#1108;&#1082;&#1090;&#1080;%20&#1075;&#1086;&#1089;&#1087;&#1086;&#1076;&#1072;&#1088;&#1102;&#1074;&#1072;&#1085;&#1085;&#1103;\&#1059;&#1045;\&#1059;&#1082;&#1088;&#1077;&#1085;&#1077;&#1088;&#1075;&#1086;_model.xlsx" TargetMode="External"/></Relationships>
</file>

<file path=word/charts/_rels/chart20.xml.rels><?xml version="1.0" encoding="UTF-8" standalone="yes"?>
<Relationships xmlns="http://schemas.openxmlformats.org/package/2006/relationships"><Relationship Id="rId1" Type="http://schemas.openxmlformats.org/officeDocument/2006/relationships/oleObject" Target="file:///C:\Users\lutak\Documents\&#1060;&#1110;&#1089;&#1082;&#1072;&#1083;&#1100;&#1085;&#1110;%20&#1088;&#1080;&#1079;&#1080;&#1082;&#1080;\2021\&#1047;&#1072;&#1087;&#1080;&#1090;&#1080;\&#1057;&#1091;&#1073;_&#1108;&#1082;&#1090;&#1080;%20&#1075;&#1086;&#1089;&#1087;&#1086;&#1076;&#1072;&#1088;&#1102;&#1074;&#1072;&#1085;&#1085;&#1103;\&#1045;&#1040;\&#1050;&#1054;&#1055;&#1055;&#1055;&#1055;%20&#1045;&#1085;&#1077;&#1088;&#1075;&#1086;&#1072;&#1090;&#1086;&#1084;_model.xlsx" TargetMode="External"/></Relationships>
</file>

<file path=word/charts/_rels/chart21.xml.rels><?xml version="1.0" encoding="UTF-8" standalone="yes"?>
<Relationships xmlns="http://schemas.openxmlformats.org/package/2006/relationships"><Relationship Id="rId1" Type="http://schemas.openxmlformats.org/officeDocument/2006/relationships/oleObject" Target="file:///C:\Users\nbohatyrenko\Desktop\&#1050;&#1054;&#1055;&#1055;&#1055;&#1055;%20&#1045;&#1085;&#1077;&#1088;&#1075;&#1086;&#1072;&#1090;&#1086;&#1084;_model.xlsx" TargetMode="External"/></Relationships>
</file>

<file path=word/charts/_rels/chart22.xml.rels><?xml version="1.0" encoding="UTF-8" standalone="yes"?>
<Relationships xmlns="http://schemas.openxmlformats.org/package/2006/relationships"><Relationship Id="rId1" Type="http://schemas.openxmlformats.org/officeDocument/2006/relationships/oleObject" Target="file:///C:\Users\nbohatyrenko\Desktop\&#1050;&#1054;&#1055;&#1055;&#1055;&#1055;%20&#1045;&#1085;&#1077;&#1088;&#1075;&#1086;&#1072;&#1090;&#1086;&#1084;_model.xlsx" TargetMode="External"/></Relationships>
</file>

<file path=word/charts/_rels/chart23.xml.rels><?xml version="1.0" encoding="UTF-8" standalone="yes"?>
<Relationships xmlns="http://schemas.openxmlformats.org/package/2006/relationships"><Relationship Id="rId3" Type="http://schemas.openxmlformats.org/officeDocument/2006/relationships/package" Target="../embeddings/______Microsoft_Excel1.xlsx"/><Relationship Id="rId2" Type="http://schemas.microsoft.com/office/2011/relationships/chartColorStyle" Target="colors11.xml"/><Relationship Id="rId1" Type="http://schemas.microsoft.com/office/2011/relationships/chartStyle" Target="style11.xml"/></Relationships>
</file>

<file path=word/charts/_rels/chart24.xml.rels><?xml version="1.0" encoding="UTF-8" standalone="yes"?>
<Relationships xmlns="http://schemas.openxmlformats.org/package/2006/relationships"><Relationship Id="rId3" Type="http://schemas.openxmlformats.org/officeDocument/2006/relationships/package" Target="../embeddings/______Microsoft_Excel2.xlsx"/><Relationship Id="rId2" Type="http://schemas.microsoft.com/office/2011/relationships/chartColorStyle" Target="colors12.xml"/><Relationship Id="rId1" Type="http://schemas.microsoft.com/office/2011/relationships/chartStyle" Target="style1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7.4880227853614353E-2"/>
          <c:y val="6.3491160756482257E-2"/>
          <c:w val="0.8668956091187292"/>
          <c:h val="0.80780913321745262"/>
        </c:manualLayout>
      </c:layout>
      <c:pieChart>
        <c:varyColors val="1"/>
        <c:ser>
          <c:idx val="0"/>
          <c:order val="0"/>
          <c:dPt>
            <c:idx val="0"/>
            <c:bubble3D val="0"/>
            <c:spPr>
              <a:solidFill>
                <a:schemeClr val="bg1">
                  <a:lumMod val="65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1-66DC-4616-BFB3-E5B1885D23AE}"/>
              </c:ext>
            </c:extLst>
          </c:dPt>
          <c:dPt>
            <c:idx val="1"/>
            <c:bubble3D val="0"/>
            <c:explosion val="22"/>
            <c:spPr>
              <a:solidFill>
                <a:srgbClr val="FFC000"/>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3-66DC-4616-BFB3-E5B1885D23AE}"/>
              </c:ext>
            </c:extLst>
          </c:dPt>
          <c:dPt>
            <c:idx val="2"/>
            <c:bubble3D val="0"/>
            <c:spPr>
              <a:solidFill>
                <a:srgbClr val="FFC000"/>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5-66DC-4616-BFB3-E5B1885D23AE}"/>
              </c:ext>
            </c:extLst>
          </c:dPt>
          <c:dPt>
            <c:idx val="3"/>
            <c:bubble3D val="0"/>
            <c:spPr>
              <a:solidFill>
                <a:schemeClr val="accent4"/>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7-66DC-4616-BFB3-E5B1885D23AE}"/>
              </c:ext>
            </c:extLst>
          </c:dPt>
          <c:dPt>
            <c:idx val="4"/>
            <c:bubble3D val="0"/>
            <c:spPr>
              <a:solidFill>
                <a:schemeClr val="accent5"/>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9-66DC-4616-BFB3-E5B1885D23AE}"/>
              </c:ext>
            </c:extLst>
          </c:dPt>
          <c:dPt>
            <c:idx val="5"/>
            <c:bubble3D val="0"/>
            <c:spPr>
              <a:solidFill>
                <a:schemeClr val="accent6"/>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B-66DC-4616-BFB3-E5B1885D23AE}"/>
              </c:ext>
            </c:extLst>
          </c:dPt>
          <c:dPt>
            <c:idx val="6"/>
            <c:bubble3D val="0"/>
            <c:spPr>
              <a:solidFill>
                <a:schemeClr val="accent1">
                  <a:lumMod val="6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D-66DC-4616-BFB3-E5B1885D23AE}"/>
              </c:ext>
            </c:extLst>
          </c:dPt>
          <c:dPt>
            <c:idx val="7"/>
            <c:bubble3D val="0"/>
            <c:spPr>
              <a:solidFill>
                <a:schemeClr val="accent2">
                  <a:lumMod val="6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F-66DC-4616-BFB3-E5B1885D23AE}"/>
              </c:ext>
            </c:extLst>
          </c:dPt>
          <c:dPt>
            <c:idx val="8"/>
            <c:bubble3D val="0"/>
            <c:spPr>
              <a:solidFill>
                <a:schemeClr val="accent3">
                  <a:lumMod val="6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11-66DC-4616-BFB3-E5B1885D23AE}"/>
              </c:ext>
            </c:extLst>
          </c:dPt>
          <c:dPt>
            <c:idx val="9"/>
            <c:bubble3D val="0"/>
            <c:spPr>
              <a:solidFill>
                <a:schemeClr val="accent4">
                  <a:lumMod val="6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13-66DC-4616-BFB3-E5B1885D23AE}"/>
              </c:ext>
            </c:extLst>
          </c:dPt>
          <c:dPt>
            <c:idx val="10"/>
            <c:bubble3D val="0"/>
            <c:spPr>
              <a:solidFill>
                <a:schemeClr val="accent5">
                  <a:lumMod val="6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15-66DC-4616-BFB3-E5B1885D23AE}"/>
              </c:ext>
            </c:extLst>
          </c:dPt>
          <c:dPt>
            <c:idx val="11"/>
            <c:bubble3D val="0"/>
            <c:spPr>
              <a:solidFill>
                <a:schemeClr val="accent6">
                  <a:lumMod val="6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17-66DC-4616-BFB3-E5B1885D23AE}"/>
              </c:ext>
            </c:extLst>
          </c:dPt>
          <c:dPt>
            <c:idx val="12"/>
            <c:bubble3D val="0"/>
            <c:spPr>
              <a:solidFill>
                <a:schemeClr val="accent1">
                  <a:lumMod val="80000"/>
                  <a:lumOff val="2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19-66DC-4616-BFB3-E5B1885D23AE}"/>
              </c:ext>
            </c:extLst>
          </c:dPt>
          <c:dPt>
            <c:idx val="13"/>
            <c:bubble3D val="0"/>
            <c:spPr>
              <a:solidFill>
                <a:schemeClr val="accent2">
                  <a:lumMod val="80000"/>
                  <a:lumOff val="2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1B-66DC-4616-BFB3-E5B1885D23AE}"/>
              </c:ext>
            </c:extLst>
          </c:dPt>
          <c:dPt>
            <c:idx val="14"/>
            <c:bubble3D val="0"/>
            <c:spPr>
              <a:solidFill>
                <a:schemeClr val="accent3">
                  <a:lumMod val="80000"/>
                  <a:lumOff val="2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1D-66DC-4616-BFB3-E5B1885D23AE}"/>
              </c:ext>
            </c:extLst>
          </c:dPt>
          <c:dPt>
            <c:idx val="15"/>
            <c:bubble3D val="0"/>
            <c:spPr>
              <a:solidFill>
                <a:schemeClr val="accent4">
                  <a:lumMod val="80000"/>
                  <a:lumOff val="2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1F-66DC-4616-BFB3-E5B1885D23AE}"/>
              </c:ext>
            </c:extLst>
          </c:dPt>
          <c:dPt>
            <c:idx val="16"/>
            <c:bubble3D val="0"/>
            <c:spPr>
              <a:solidFill>
                <a:schemeClr val="accent5">
                  <a:lumMod val="80000"/>
                  <a:lumOff val="2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21-66DC-4616-BFB3-E5B1885D23AE}"/>
              </c:ext>
            </c:extLst>
          </c:dPt>
          <c:dLbls>
            <c:dLbl>
              <c:idx val="0"/>
              <c:layout>
                <c:manualLayout>
                  <c:x val="9.0728629574856418E-2"/>
                  <c:y val="-9.0058060924202654E-2"/>
                </c:manualLayout>
              </c:layout>
              <c:tx>
                <c:rich>
                  <a:bodyPr rot="0" spcFirstLastPara="1" vertOverflow="ellipsis" vert="horz" wrap="square" lIns="38100" tIns="19050" rIns="38100" bIns="19050" anchor="ctr" anchorCtr="1">
                    <a:spAutoFit/>
                  </a:bodyPr>
                  <a:lstStyle/>
                  <a:p>
                    <a:pPr>
                      <a:defRPr sz="1000" b="1" i="0" u="none" strike="noStrike" kern="1200" spc="0" baseline="0">
                        <a:solidFill>
                          <a:sysClr val="windowText" lastClr="000000"/>
                        </a:solidFill>
                        <a:latin typeface="+mn-lt"/>
                        <a:ea typeface="+mn-ea"/>
                        <a:cs typeface="+mn-cs"/>
                      </a:defRPr>
                    </a:pPr>
                    <a:r>
                      <a:rPr lang="en-US" baseline="0"/>
                      <a:t>3185; </a:t>
                    </a:r>
                    <a:fld id="{CADD38DE-A356-427E-9469-FFBB2881306F}" type="PERCENTAGE">
                      <a:rPr lang="en-US" baseline="0"/>
                      <a:pPr>
                        <a:defRPr>
                          <a:solidFill>
                            <a:sysClr val="windowText" lastClr="000000"/>
                          </a:solidFill>
                        </a:defRPr>
                      </a:pPr>
                      <a:t>[ВІДСОТОК]</a:t>
                    </a:fld>
                    <a:endParaRPr lang="en-US" baseline="0"/>
                  </a:p>
                </c:rich>
              </c:tx>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1"/>
              <c:showBubbleSize val="0"/>
              <c:extLst>
                <c:ext xmlns:c15="http://schemas.microsoft.com/office/drawing/2012/chart" uri="{CE6537A1-D6FC-4f65-9D91-7224C49458BB}">
                  <c15:layout>
                    <c:manualLayout>
                      <c:w val="0.28725032637818021"/>
                      <c:h val="0.13433390788837959"/>
                    </c:manualLayout>
                  </c15:layout>
                  <c15:dlblFieldTable/>
                  <c15:showDataLabelsRange val="0"/>
                </c:ext>
                <c:ext xmlns:c16="http://schemas.microsoft.com/office/drawing/2014/chart" uri="{C3380CC4-5D6E-409C-BE32-E72D297353CC}">
                  <c16:uniqueId val="{00000001-66DC-4616-BFB3-E5B1885D23AE}"/>
                </c:ext>
              </c:extLst>
            </c:dLbl>
            <c:dLbl>
              <c:idx val="1"/>
              <c:layout>
                <c:manualLayout>
                  <c:x val="5.4751403163867131E-4"/>
                  <c:y val="2.2938290384156526E-2"/>
                </c:manualLayout>
              </c:layout>
              <c:tx>
                <c:rich>
                  <a:bodyPr rot="0" spcFirstLastPara="1" vertOverflow="ellipsis" vert="horz" wrap="square" lIns="38100" tIns="19050" rIns="38100" bIns="19050" anchor="ctr" anchorCtr="1">
                    <a:spAutoFit/>
                  </a:bodyPr>
                  <a:lstStyle/>
                  <a:p>
                    <a:pPr>
                      <a:defRPr sz="1000" b="1" i="0" u="none" strike="noStrike" kern="1200" spc="0" baseline="0">
                        <a:solidFill>
                          <a:sysClr val="windowText" lastClr="000000"/>
                        </a:solidFill>
                        <a:latin typeface="+mn-lt"/>
                        <a:ea typeface="+mn-ea"/>
                        <a:cs typeface="+mn-cs"/>
                      </a:defRPr>
                    </a:pPr>
                    <a:r>
                      <a:rPr lang="en-US" baseline="0"/>
                      <a:t>38; </a:t>
                    </a:r>
                    <a:fld id="{DD296FC6-D009-412B-8E7D-55EE41A8D6C0}" type="PERCENTAGE">
                      <a:rPr lang="en-US" baseline="0"/>
                      <a:pPr>
                        <a:defRPr>
                          <a:solidFill>
                            <a:sysClr val="windowText" lastClr="000000"/>
                          </a:solidFill>
                        </a:defRPr>
                      </a:pPr>
                      <a:t>[ВІДСОТОК]</a:t>
                    </a:fld>
                    <a:endParaRPr lang="en-US" baseline="0"/>
                  </a:p>
                </c:rich>
              </c:tx>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66DC-4616-BFB3-E5B1885D23AE}"/>
                </c:ext>
              </c:extLst>
            </c:dLbl>
            <c:dLbl>
              <c:idx val="2"/>
              <c:layout>
                <c:manualLayout>
                  <c:x val="0.10152933770334546"/>
                  <c:y val="-2.4900978286805105E-2"/>
                </c:manualLayout>
              </c:layout>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66DC-4616-BFB3-E5B1885D23AE}"/>
                </c:ext>
              </c:extLst>
            </c:dLbl>
            <c:dLbl>
              <c:idx val="3"/>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1"/>
              <c:showBubbleSize val="0"/>
              <c:extLst>
                <c:ext xmlns:c16="http://schemas.microsoft.com/office/drawing/2014/chart" uri="{C3380CC4-5D6E-409C-BE32-E72D297353CC}">
                  <c16:uniqueId val="{00000007-66DC-4616-BFB3-E5B1885D23AE}"/>
                </c:ext>
              </c:extLst>
            </c:dLbl>
            <c:dLbl>
              <c:idx val="4"/>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1"/>
              <c:showBubbleSize val="0"/>
              <c:extLst>
                <c:ext xmlns:c16="http://schemas.microsoft.com/office/drawing/2014/chart" uri="{C3380CC4-5D6E-409C-BE32-E72D297353CC}">
                  <c16:uniqueId val="{00000009-66DC-4616-BFB3-E5B1885D23AE}"/>
                </c:ext>
              </c:extLst>
            </c:dLbl>
            <c:dLbl>
              <c:idx val="5"/>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1"/>
              <c:showBubbleSize val="0"/>
              <c:extLst>
                <c:ext xmlns:c16="http://schemas.microsoft.com/office/drawing/2014/chart" uri="{C3380CC4-5D6E-409C-BE32-E72D297353CC}">
                  <c16:uniqueId val="{0000000B-66DC-4616-BFB3-E5B1885D23AE}"/>
                </c:ext>
              </c:extLst>
            </c:dLbl>
            <c:dLbl>
              <c:idx val="6"/>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1"/>
              <c:showBubbleSize val="0"/>
              <c:extLst>
                <c:ext xmlns:c16="http://schemas.microsoft.com/office/drawing/2014/chart" uri="{C3380CC4-5D6E-409C-BE32-E72D297353CC}">
                  <c16:uniqueId val="{0000000D-66DC-4616-BFB3-E5B1885D23AE}"/>
                </c:ext>
              </c:extLst>
            </c:dLbl>
            <c:dLbl>
              <c:idx val="7"/>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1"/>
              <c:showBubbleSize val="0"/>
              <c:extLst>
                <c:ext xmlns:c16="http://schemas.microsoft.com/office/drawing/2014/chart" uri="{C3380CC4-5D6E-409C-BE32-E72D297353CC}">
                  <c16:uniqueId val="{0000000F-66DC-4616-BFB3-E5B1885D23AE}"/>
                </c:ext>
              </c:extLst>
            </c:dLbl>
            <c:dLbl>
              <c:idx val="8"/>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1"/>
              <c:showBubbleSize val="0"/>
              <c:extLst>
                <c:ext xmlns:c16="http://schemas.microsoft.com/office/drawing/2014/chart" uri="{C3380CC4-5D6E-409C-BE32-E72D297353CC}">
                  <c16:uniqueId val="{00000011-66DC-4616-BFB3-E5B1885D23AE}"/>
                </c:ext>
              </c:extLst>
            </c:dLbl>
            <c:dLbl>
              <c:idx val="9"/>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1"/>
              <c:showBubbleSize val="0"/>
              <c:extLst>
                <c:ext xmlns:c16="http://schemas.microsoft.com/office/drawing/2014/chart" uri="{C3380CC4-5D6E-409C-BE32-E72D297353CC}">
                  <c16:uniqueId val="{00000013-66DC-4616-BFB3-E5B1885D23AE}"/>
                </c:ext>
              </c:extLst>
            </c:dLbl>
            <c:dLbl>
              <c:idx val="10"/>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1"/>
              <c:showBubbleSize val="0"/>
              <c:extLst>
                <c:ext xmlns:c16="http://schemas.microsoft.com/office/drawing/2014/chart" uri="{C3380CC4-5D6E-409C-BE32-E72D297353CC}">
                  <c16:uniqueId val="{00000015-66DC-4616-BFB3-E5B1885D23AE}"/>
                </c:ext>
              </c:extLst>
            </c:dLbl>
            <c:dLbl>
              <c:idx val="11"/>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1"/>
              <c:showBubbleSize val="0"/>
              <c:extLst>
                <c:ext xmlns:c16="http://schemas.microsoft.com/office/drawing/2014/chart" uri="{C3380CC4-5D6E-409C-BE32-E72D297353CC}">
                  <c16:uniqueId val="{00000017-66DC-4616-BFB3-E5B1885D23AE}"/>
                </c:ext>
              </c:extLst>
            </c:dLbl>
            <c:dLbl>
              <c:idx val="12"/>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1"/>
              <c:showBubbleSize val="0"/>
              <c:extLst>
                <c:ext xmlns:c16="http://schemas.microsoft.com/office/drawing/2014/chart" uri="{C3380CC4-5D6E-409C-BE32-E72D297353CC}">
                  <c16:uniqueId val="{00000019-66DC-4616-BFB3-E5B1885D23AE}"/>
                </c:ext>
              </c:extLst>
            </c:dLbl>
            <c:dLbl>
              <c:idx val="13"/>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1"/>
              <c:showBubbleSize val="0"/>
              <c:extLst>
                <c:ext xmlns:c16="http://schemas.microsoft.com/office/drawing/2014/chart" uri="{C3380CC4-5D6E-409C-BE32-E72D297353CC}">
                  <c16:uniqueId val="{0000001B-66DC-4616-BFB3-E5B1885D23AE}"/>
                </c:ext>
              </c:extLst>
            </c:dLbl>
            <c:dLbl>
              <c:idx val="14"/>
              <c:layout>
                <c:manualLayout>
                  <c:x val="5.1423324150596875E-2"/>
                  <c:y val="1.3265492976168696E-2"/>
                </c:manualLayout>
              </c:layout>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ysClr val="windowText" lastClr="000000"/>
                      </a:solidFill>
                      <a:latin typeface="+mn-lt"/>
                      <a:ea typeface="+mn-ea"/>
                      <a:cs typeface="+mn-cs"/>
                    </a:defRPr>
                  </a:pPr>
                  <a:endParaRPr lang="uk-UA"/>
                </a:p>
              </c:txPr>
              <c:dLblPos val="bestFit"/>
              <c:showLegendKey val="0"/>
              <c:showVal val="1"/>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1D-66DC-4616-BFB3-E5B1885D23AE}"/>
                </c:ext>
              </c:extLst>
            </c:dLbl>
            <c:dLbl>
              <c:idx val="15"/>
              <c:layout>
                <c:manualLayout>
                  <c:x val="5.6932966023875112E-2"/>
                  <c:y val="4.8577183665995241E-2"/>
                </c:manualLayout>
              </c:layout>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ysClr val="windowText" lastClr="000000"/>
                      </a:solidFill>
                      <a:latin typeface="+mn-lt"/>
                      <a:ea typeface="+mn-ea"/>
                      <a:cs typeface="+mn-cs"/>
                    </a:defRPr>
                  </a:pPr>
                  <a:endParaRPr lang="uk-UA"/>
                </a:p>
              </c:txPr>
              <c:dLblPos val="bestFit"/>
              <c:showLegendKey val="0"/>
              <c:showVal val="1"/>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1F-66DC-4616-BFB3-E5B1885D23AE}"/>
                </c:ext>
              </c:extLst>
            </c:dLbl>
            <c:dLbl>
              <c:idx val="16"/>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1"/>
              <c:showBubbleSize val="0"/>
              <c:extLst>
                <c:ext xmlns:c16="http://schemas.microsoft.com/office/drawing/2014/chart" uri="{C3380CC4-5D6E-409C-BE32-E72D297353CC}">
                  <c16:uniqueId val="{00000021-66DC-4616-BFB3-E5B1885D23AE}"/>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1"/>
            <c:showBubbleSize val="0"/>
            <c:showLeaderLines val="0"/>
            <c:extLst>
              <c:ext xmlns:c15="http://schemas.microsoft.com/office/drawing/2012/chart" uri="{CE6537A1-D6FC-4f65-9D91-7224C49458BB}"/>
            </c:extLst>
          </c:dLbls>
          <c:cat>
            <c:strRef>
              <c:f>слайди!$A$3:$A$4</c:f>
              <c:strCache>
                <c:ptCount val="2"/>
                <c:pt idx="0">
                  <c:v>державні підприємства</c:v>
                </c:pt>
                <c:pt idx="1">
                  <c:v>господарські товариства з державною часткою понад 50%</c:v>
                </c:pt>
              </c:strCache>
            </c:strRef>
          </c:cat>
          <c:val>
            <c:numRef>
              <c:f>слайди!$B$3:$B$4</c:f>
              <c:numCache>
                <c:formatCode>#,##0</c:formatCode>
                <c:ptCount val="2"/>
                <c:pt idx="0">
                  <c:v>3207</c:v>
                </c:pt>
                <c:pt idx="1">
                  <c:v>245</c:v>
                </c:pt>
              </c:numCache>
            </c:numRef>
          </c:val>
          <c:extLst>
            <c:ext xmlns:c16="http://schemas.microsoft.com/office/drawing/2014/chart" uri="{C3380CC4-5D6E-409C-BE32-E72D297353CC}">
              <c16:uniqueId val="{00000022-66DC-4616-BFB3-E5B1885D23AE}"/>
            </c:ext>
          </c:extLst>
        </c:ser>
        <c:dLbls>
          <c:showLegendKey val="0"/>
          <c:showVal val="0"/>
          <c:showCatName val="0"/>
          <c:showSerName val="0"/>
          <c:showPercent val="0"/>
          <c:showBubbleSize val="0"/>
          <c:showLeaderLines val="0"/>
        </c:dLbls>
        <c:firstSliceAng val="97"/>
      </c:pieChart>
      <c:spPr>
        <a:noFill/>
        <a:ln>
          <a:noFill/>
        </a:ln>
        <a:effectLst/>
      </c:spPr>
    </c:plotArea>
    <c:legend>
      <c:legendPos val="r"/>
      <c:overlay val="1"/>
      <c:spPr>
        <a:noFill/>
        <a:ln>
          <a:noFill/>
        </a:ln>
        <a:effectLst/>
      </c:spPr>
      <c:txPr>
        <a:bodyPr rot="0" spcFirstLastPara="1" vertOverflow="ellipsis" vert="horz" wrap="square" anchor="ctr" anchorCtr="1"/>
        <a:lstStyle/>
        <a:p>
          <a:pPr rtl="0">
            <a:defRPr sz="900" b="1"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9161344238749817"/>
          <c:y val="3.2147705674721701E-2"/>
          <c:w val="0.63078047447458896"/>
          <c:h val="0.74859866654599205"/>
        </c:manualLayout>
      </c:layout>
      <c:doughnutChart>
        <c:varyColors val="1"/>
        <c:ser>
          <c:idx val="0"/>
          <c:order val="0"/>
          <c:spPr>
            <a:ln>
              <a:noFill/>
            </a:ln>
          </c:spPr>
          <c:explosion val="1"/>
          <c:dPt>
            <c:idx val="0"/>
            <c:bubble3D val="0"/>
            <c:explosion val="0"/>
            <c:spPr>
              <a:solidFill>
                <a:srgbClr val="FFC000"/>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1-45B7-4563-B196-8270CFD4D1FB}"/>
              </c:ext>
            </c:extLst>
          </c:dPt>
          <c:dPt>
            <c:idx val="1"/>
            <c:bubble3D val="0"/>
            <c:spPr>
              <a:solidFill>
                <a:schemeClr val="bg1">
                  <a:lumMod val="65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3-45B7-4563-B196-8270CFD4D1FB}"/>
              </c:ext>
            </c:extLst>
          </c:dPt>
          <c:dPt>
            <c:idx val="2"/>
            <c:bubble3D val="0"/>
            <c:spPr>
              <a:solidFill>
                <a:srgbClr val="B48900"/>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5-45B7-4563-B196-8270CFD4D1FB}"/>
              </c:ext>
            </c:extLst>
          </c:dPt>
          <c:dPt>
            <c:idx val="3"/>
            <c:bubble3D val="0"/>
            <c:spPr>
              <a:solidFill>
                <a:schemeClr val="accent4"/>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7-45B7-4563-B196-8270CFD4D1FB}"/>
              </c:ext>
            </c:extLst>
          </c:dPt>
          <c:dPt>
            <c:idx val="4"/>
            <c:bubble3D val="0"/>
            <c:spPr>
              <a:solidFill>
                <a:schemeClr val="accent5"/>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9-45B7-4563-B196-8270CFD4D1FB}"/>
              </c:ext>
            </c:extLst>
          </c:dPt>
          <c:dPt>
            <c:idx val="5"/>
            <c:bubble3D val="0"/>
            <c:spPr>
              <a:solidFill>
                <a:schemeClr val="accent6"/>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B-45B7-4563-B196-8270CFD4D1FB}"/>
              </c:ext>
            </c:extLst>
          </c:dPt>
          <c:dPt>
            <c:idx val="6"/>
            <c:bubble3D val="0"/>
            <c:spPr>
              <a:solidFill>
                <a:schemeClr val="accent1">
                  <a:lumMod val="6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D-45B7-4563-B196-8270CFD4D1FB}"/>
              </c:ext>
            </c:extLst>
          </c:dPt>
          <c:dPt>
            <c:idx val="7"/>
            <c:bubble3D val="0"/>
            <c:spPr>
              <a:solidFill>
                <a:schemeClr val="accent2">
                  <a:lumMod val="6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F-45B7-4563-B196-8270CFD4D1FB}"/>
              </c:ext>
            </c:extLst>
          </c:dPt>
          <c:dPt>
            <c:idx val="8"/>
            <c:bubble3D val="0"/>
            <c:spPr>
              <a:solidFill>
                <a:schemeClr val="accent3">
                  <a:lumMod val="6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11-45B7-4563-B196-8270CFD4D1FB}"/>
              </c:ext>
            </c:extLst>
          </c:dPt>
          <c:dPt>
            <c:idx val="9"/>
            <c:bubble3D val="0"/>
            <c:spPr>
              <a:solidFill>
                <a:schemeClr val="accent4">
                  <a:lumMod val="6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13-45B7-4563-B196-8270CFD4D1FB}"/>
              </c:ext>
            </c:extLst>
          </c:dPt>
          <c:dPt>
            <c:idx val="10"/>
            <c:bubble3D val="0"/>
            <c:spPr>
              <a:solidFill>
                <a:schemeClr val="accent5">
                  <a:lumMod val="6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15-45B7-4563-B196-8270CFD4D1FB}"/>
              </c:ext>
            </c:extLst>
          </c:dPt>
          <c:dPt>
            <c:idx val="11"/>
            <c:bubble3D val="0"/>
            <c:spPr>
              <a:solidFill>
                <a:schemeClr val="accent6">
                  <a:lumMod val="6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17-45B7-4563-B196-8270CFD4D1FB}"/>
              </c:ext>
            </c:extLst>
          </c:dPt>
          <c:dPt>
            <c:idx val="12"/>
            <c:bubble3D val="0"/>
            <c:spPr>
              <a:solidFill>
                <a:schemeClr val="accent1">
                  <a:lumMod val="80000"/>
                  <a:lumOff val="2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19-45B7-4563-B196-8270CFD4D1FB}"/>
              </c:ext>
            </c:extLst>
          </c:dPt>
          <c:dPt>
            <c:idx val="13"/>
            <c:bubble3D val="0"/>
            <c:spPr>
              <a:solidFill>
                <a:schemeClr val="accent2">
                  <a:lumMod val="80000"/>
                  <a:lumOff val="2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1B-45B7-4563-B196-8270CFD4D1FB}"/>
              </c:ext>
            </c:extLst>
          </c:dPt>
          <c:dPt>
            <c:idx val="14"/>
            <c:bubble3D val="0"/>
            <c:spPr>
              <a:solidFill>
                <a:schemeClr val="accent3">
                  <a:lumMod val="80000"/>
                  <a:lumOff val="2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1D-45B7-4563-B196-8270CFD4D1FB}"/>
              </c:ext>
            </c:extLst>
          </c:dPt>
          <c:dPt>
            <c:idx val="15"/>
            <c:bubble3D val="0"/>
            <c:spPr>
              <a:solidFill>
                <a:schemeClr val="accent4">
                  <a:lumMod val="80000"/>
                  <a:lumOff val="2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1F-45B7-4563-B196-8270CFD4D1FB}"/>
              </c:ext>
            </c:extLst>
          </c:dPt>
          <c:dPt>
            <c:idx val="16"/>
            <c:bubble3D val="0"/>
            <c:spPr>
              <a:solidFill>
                <a:schemeClr val="accent5">
                  <a:lumMod val="80000"/>
                  <a:lumOff val="2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21-45B7-4563-B196-8270CFD4D1FB}"/>
              </c:ext>
            </c:extLst>
          </c:dPt>
          <c:dLbls>
            <c:dLbl>
              <c:idx val="0"/>
              <c:layout>
                <c:manualLayout>
                  <c:x val="0.24393407909335196"/>
                  <c:y val="0.11729688996533358"/>
                </c:manualLayout>
              </c:layout>
              <c:tx>
                <c:rich>
                  <a:bodyPr rot="0" spcFirstLastPara="1" vertOverflow="ellipsis" vert="horz" wrap="square" lIns="38100" tIns="19050" rIns="38100" bIns="19050" anchor="ctr" anchorCtr="1">
                    <a:noAutofit/>
                  </a:bodyPr>
                  <a:lstStyle/>
                  <a:p>
                    <a:pPr>
                      <a:defRPr sz="900" b="1" i="0" u="none" strike="noStrike" kern="1200" spc="0" baseline="0">
                        <a:solidFill>
                          <a:sysClr val="windowText" lastClr="000000"/>
                        </a:solidFill>
                        <a:latin typeface="+mn-lt"/>
                        <a:ea typeface="+mn-ea"/>
                        <a:cs typeface="+mn-cs"/>
                      </a:defRPr>
                    </a:pPr>
                    <a:fld id="{142D8585-31A1-4BA6-81E1-728A4757F500}" type="VALUE">
                      <a:rPr lang="en-US" sz="900"/>
                      <a:pPr>
                        <a:defRPr sz="900">
                          <a:solidFill>
                            <a:sysClr val="windowText" lastClr="000000"/>
                          </a:solidFill>
                        </a:defRPr>
                      </a:pPr>
                      <a:t>[ЗНАЧЕННЯ]</a:t>
                    </a:fld>
                    <a:r>
                      <a:rPr lang="en-US" sz="900" baseline="0"/>
                      <a:t>; 43,7%</a:t>
                    </a:r>
                  </a:p>
                </c:rich>
              </c:tx>
              <c:spPr>
                <a:noFill/>
                <a:ln>
                  <a:noFill/>
                </a:ln>
                <a:effectLst/>
              </c:spPr>
              <c:txPr>
                <a:bodyPr rot="0" spcFirstLastPara="1" vertOverflow="ellipsis" vert="horz" wrap="square" lIns="38100" tIns="19050" rIns="38100" bIns="19050" anchor="ctr" anchorCtr="1">
                  <a:noAutofit/>
                </a:bodyPr>
                <a:lstStyle/>
                <a:p>
                  <a:pPr>
                    <a:defRPr sz="9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1"/>
              <c:showBubbleSize val="0"/>
              <c:extLst>
                <c:ext xmlns:c15="http://schemas.microsoft.com/office/drawing/2012/chart" uri="{CE6537A1-D6FC-4f65-9D91-7224C49458BB}">
                  <c15:layout>
                    <c:manualLayout>
                      <c:w val="0.23252440448098563"/>
                      <c:h val="0.13433410054512418"/>
                    </c:manualLayout>
                  </c15:layout>
                  <c15:dlblFieldTable/>
                  <c15:showDataLabelsRange val="0"/>
                </c:ext>
                <c:ext xmlns:c16="http://schemas.microsoft.com/office/drawing/2014/chart" uri="{C3380CC4-5D6E-409C-BE32-E72D297353CC}">
                  <c16:uniqueId val="{00000001-45B7-4563-B196-8270CFD4D1FB}"/>
                </c:ext>
              </c:extLst>
            </c:dLbl>
            <c:dLbl>
              <c:idx val="1"/>
              <c:layout>
                <c:manualLayout>
                  <c:x val="-0.15207336371089208"/>
                  <c:y val="-0.14372680785591457"/>
                </c:manualLayout>
              </c:layout>
              <c:tx>
                <c:rich>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fld id="{EA24AD96-DD9F-47E1-8FBA-216D57789967}" type="VALUE">
                      <a:rPr lang="en-US"/>
                      <a:pPr>
                        <a:defRPr sz="900">
                          <a:solidFill>
                            <a:sysClr val="windowText" lastClr="000000"/>
                          </a:solidFill>
                        </a:defRPr>
                      </a:pPr>
                      <a:t>[ЗНАЧЕННЯ]</a:t>
                    </a:fld>
                    <a:r>
                      <a:rPr lang="en-US" baseline="0"/>
                      <a:t>; 44,6%</a:t>
                    </a:r>
                  </a:p>
                </c:rich>
              </c:tx>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45B7-4563-B196-8270CFD4D1FB}"/>
                </c:ext>
              </c:extLst>
            </c:dLbl>
            <c:dLbl>
              <c:idx val="2"/>
              <c:layout>
                <c:manualLayout>
                  <c:x val="0.23002421307506038"/>
                  <c:y val="-8.141762452107279E-2"/>
                </c:manualLayout>
              </c:layout>
              <c:tx>
                <c:rich>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fld id="{9A1E8171-E636-4A55-AE52-270676F78ACD}" type="VALUE">
                      <a:rPr lang="en-US"/>
                      <a:pPr>
                        <a:defRPr sz="900">
                          <a:solidFill>
                            <a:sysClr val="windowText" lastClr="000000"/>
                          </a:solidFill>
                        </a:defRPr>
                      </a:pPr>
                      <a:t>[ЗНАЧЕННЯ]</a:t>
                    </a:fld>
                    <a:r>
                      <a:rPr lang="en-US" baseline="0"/>
                      <a:t>; 11,7%</a:t>
                    </a:r>
                  </a:p>
                </c:rich>
              </c:tx>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5-45B7-4563-B196-8270CFD4D1FB}"/>
                </c:ext>
              </c:extLst>
            </c:dLbl>
            <c:dLbl>
              <c:idx val="3"/>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1"/>
              <c:showBubbleSize val="0"/>
              <c:extLst>
                <c:ext xmlns:c16="http://schemas.microsoft.com/office/drawing/2014/chart" uri="{C3380CC4-5D6E-409C-BE32-E72D297353CC}">
                  <c16:uniqueId val="{00000007-45B7-4563-B196-8270CFD4D1FB}"/>
                </c:ext>
              </c:extLst>
            </c:dLbl>
            <c:dLbl>
              <c:idx val="4"/>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1"/>
              <c:showBubbleSize val="0"/>
              <c:extLst>
                <c:ext xmlns:c16="http://schemas.microsoft.com/office/drawing/2014/chart" uri="{C3380CC4-5D6E-409C-BE32-E72D297353CC}">
                  <c16:uniqueId val="{00000009-45B7-4563-B196-8270CFD4D1FB}"/>
                </c:ext>
              </c:extLst>
            </c:dLbl>
            <c:dLbl>
              <c:idx val="5"/>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1"/>
              <c:showBubbleSize val="0"/>
              <c:extLst>
                <c:ext xmlns:c16="http://schemas.microsoft.com/office/drawing/2014/chart" uri="{C3380CC4-5D6E-409C-BE32-E72D297353CC}">
                  <c16:uniqueId val="{0000000B-45B7-4563-B196-8270CFD4D1FB}"/>
                </c:ext>
              </c:extLst>
            </c:dLbl>
            <c:dLbl>
              <c:idx val="6"/>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1"/>
              <c:showBubbleSize val="0"/>
              <c:extLst>
                <c:ext xmlns:c16="http://schemas.microsoft.com/office/drawing/2014/chart" uri="{C3380CC4-5D6E-409C-BE32-E72D297353CC}">
                  <c16:uniqueId val="{0000000D-45B7-4563-B196-8270CFD4D1FB}"/>
                </c:ext>
              </c:extLst>
            </c:dLbl>
            <c:dLbl>
              <c:idx val="7"/>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1"/>
              <c:showBubbleSize val="0"/>
              <c:extLst>
                <c:ext xmlns:c16="http://schemas.microsoft.com/office/drawing/2014/chart" uri="{C3380CC4-5D6E-409C-BE32-E72D297353CC}">
                  <c16:uniqueId val="{0000000F-45B7-4563-B196-8270CFD4D1FB}"/>
                </c:ext>
              </c:extLst>
            </c:dLbl>
            <c:dLbl>
              <c:idx val="8"/>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1"/>
              <c:showBubbleSize val="0"/>
              <c:extLst>
                <c:ext xmlns:c16="http://schemas.microsoft.com/office/drawing/2014/chart" uri="{C3380CC4-5D6E-409C-BE32-E72D297353CC}">
                  <c16:uniqueId val="{00000011-45B7-4563-B196-8270CFD4D1FB}"/>
                </c:ext>
              </c:extLst>
            </c:dLbl>
            <c:dLbl>
              <c:idx val="9"/>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1"/>
              <c:showBubbleSize val="0"/>
              <c:extLst>
                <c:ext xmlns:c16="http://schemas.microsoft.com/office/drawing/2014/chart" uri="{C3380CC4-5D6E-409C-BE32-E72D297353CC}">
                  <c16:uniqueId val="{00000013-45B7-4563-B196-8270CFD4D1FB}"/>
                </c:ext>
              </c:extLst>
            </c:dLbl>
            <c:dLbl>
              <c:idx val="10"/>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1"/>
              <c:showBubbleSize val="0"/>
              <c:extLst>
                <c:ext xmlns:c16="http://schemas.microsoft.com/office/drawing/2014/chart" uri="{C3380CC4-5D6E-409C-BE32-E72D297353CC}">
                  <c16:uniqueId val="{00000015-45B7-4563-B196-8270CFD4D1FB}"/>
                </c:ext>
              </c:extLst>
            </c:dLbl>
            <c:dLbl>
              <c:idx val="11"/>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1"/>
              <c:showBubbleSize val="0"/>
              <c:extLst>
                <c:ext xmlns:c16="http://schemas.microsoft.com/office/drawing/2014/chart" uri="{C3380CC4-5D6E-409C-BE32-E72D297353CC}">
                  <c16:uniqueId val="{00000017-45B7-4563-B196-8270CFD4D1FB}"/>
                </c:ext>
              </c:extLst>
            </c:dLbl>
            <c:dLbl>
              <c:idx val="12"/>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1"/>
              <c:showBubbleSize val="0"/>
              <c:extLst>
                <c:ext xmlns:c16="http://schemas.microsoft.com/office/drawing/2014/chart" uri="{C3380CC4-5D6E-409C-BE32-E72D297353CC}">
                  <c16:uniqueId val="{00000019-45B7-4563-B196-8270CFD4D1FB}"/>
                </c:ext>
              </c:extLst>
            </c:dLbl>
            <c:dLbl>
              <c:idx val="13"/>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1"/>
              <c:showBubbleSize val="0"/>
              <c:extLst>
                <c:ext xmlns:c16="http://schemas.microsoft.com/office/drawing/2014/chart" uri="{C3380CC4-5D6E-409C-BE32-E72D297353CC}">
                  <c16:uniqueId val="{0000001B-45B7-4563-B196-8270CFD4D1FB}"/>
                </c:ext>
              </c:extLst>
            </c:dLbl>
            <c:dLbl>
              <c:idx val="14"/>
              <c:layout>
                <c:manualLayout>
                  <c:x val="5.1423324150596875E-2"/>
                  <c:y val="1.3265492976168696E-2"/>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1D-45B7-4563-B196-8270CFD4D1FB}"/>
                </c:ext>
              </c:extLst>
            </c:dLbl>
            <c:dLbl>
              <c:idx val="15"/>
              <c:layout>
                <c:manualLayout>
                  <c:x val="5.6932966023875112E-2"/>
                  <c:y val="4.8577183665995241E-2"/>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1F-45B7-4563-B196-8270CFD4D1FB}"/>
                </c:ext>
              </c:extLst>
            </c:dLbl>
            <c:dLbl>
              <c:idx val="16"/>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1"/>
              <c:showBubbleSize val="0"/>
              <c:extLst>
                <c:ext xmlns:c16="http://schemas.microsoft.com/office/drawing/2014/chart" uri="{C3380CC4-5D6E-409C-BE32-E72D297353CC}">
                  <c16:uniqueId val="{00000021-45B7-4563-B196-8270CFD4D1FB}"/>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'загальна інфа'!$A$20:$A$22</c:f>
              <c:strCache>
                <c:ptCount val="3"/>
                <c:pt idx="0">
                  <c:v>працюючі суб'єкти господарювання </c:v>
                </c:pt>
                <c:pt idx="1">
                  <c:v>непрацюючі суб'єкти господарювання</c:v>
                </c:pt>
                <c:pt idx="2">
                  <c:v>суб'єкти господарювання, інформація про яких відсутня</c:v>
                </c:pt>
              </c:strCache>
            </c:strRef>
          </c:cat>
          <c:val>
            <c:numRef>
              <c:f>'загальна інфа'!$B$20:$B$22</c:f>
              <c:numCache>
                <c:formatCode>General</c:formatCode>
                <c:ptCount val="3"/>
                <c:pt idx="0">
                  <c:v>1458</c:v>
                </c:pt>
                <c:pt idx="1">
                  <c:v>1490</c:v>
                </c:pt>
                <c:pt idx="2">
                  <c:v>395</c:v>
                </c:pt>
              </c:numCache>
            </c:numRef>
          </c:val>
          <c:extLst>
            <c:ext xmlns:c16="http://schemas.microsoft.com/office/drawing/2014/chart" uri="{C3380CC4-5D6E-409C-BE32-E72D297353CC}">
              <c16:uniqueId val="{00000022-45B7-4563-B196-8270CFD4D1FB}"/>
            </c:ext>
          </c:extLst>
        </c:ser>
        <c:dLbls>
          <c:showLegendKey val="0"/>
          <c:showVal val="0"/>
          <c:showCatName val="0"/>
          <c:showSerName val="0"/>
          <c:showPercent val="0"/>
          <c:showBubbleSize val="0"/>
          <c:showLeaderLines val="1"/>
        </c:dLbls>
        <c:firstSliceAng val="59"/>
        <c:holeSize val="50"/>
      </c:doughnutChart>
      <c:spPr>
        <a:noFill/>
        <a:ln>
          <a:noFill/>
        </a:ln>
        <a:effectLst/>
      </c:spPr>
    </c:plotArea>
    <c:legend>
      <c:legendPos val="b"/>
      <c:layout>
        <c:manualLayout>
          <c:xMode val="edge"/>
          <c:yMode val="edge"/>
          <c:x val="4.5550450261513916E-3"/>
          <c:y val="0.78545343469997286"/>
          <c:w val="0.99381941340301894"/>
          <c:h val="0.21454656530002716"/>
        </c:manualLayout>
      </c:layout>
      <c:overlay val="1"/>
      <c:spPr>
        <a:noFill/>
        <a:ln>
          <a:noFill/>
        </a:ln>
        <a:effectLst/>
      </c:spPr>
      <c:txPr>
        <a:bodyPr rot="0" spcFirstLastPara="1" vertOverflow="ellipsis" vert="horz" wrap="square" anchor="ctr" anchorCtr="1"/>
        <a:lstStyle/>
        <a:p>
          <a:pPr rtl="0">
            <a:defRPr sz="800" b="1"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7.4880227853614353E-2"/>
          <c:y val="6.3491160756482257E-2"/>
          <c:w val="0.8668956091187292"/>
          <c:h val="0.80780913321745262"/>
        </c:manualLayout>
      </c:layout>
      <c:ofPieChart>
        <c:ofPieType val="pie"/>
        <c:varyColors val="1"/>
        <c:ser>
          <c:idx val="0"/>
          <c:order val="0"/>
          <c:spPr>
            <a:solidFill>
              <a:srgbClr val="DBC471"/>
            </a:solidFill>
          </c:spPr>
          <c:dPt>
            <c:idx val="0"/>
            <c:bubble3D val="0"/>
            <c:spPr>
              <a:solidFill>
                <a:srgbClr val="FFC000"/>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1-1604-49EB-8462-165A25AB574A}"/>
              </c:ext>
            </c:extLst>
          </c:dPt>
          <c:dPt>
            <c:idx val="1"/>
            <c:bubble3D val="0"/>
            <c:explosion val="1"/>
            <c:spPr>
              <a:solidFill>
                <a:srgbClr val="DBC471"/>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3-1604-49EB-8462-165A25AB574A}"/>
              </c:ext>
            </c:extLst>
          </c:dPt>
          <c:dPt>
            <c:idx val="2"/>
            <c:bubble3D val="0"/>
            <c:spPr>
              <a:solidFill>
                <a:srgbClr val="DBC471"/>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5-1604-49EB-8462-165A25AB574A}"/>
              </c:ext>
            </c:extLst>
          </c:dPt>
          <c:dPt>
            <c:idx val="3"/>
            <c:bubble3D val="0"/>
            <c:spPr>
              <a:solidFill>
                <a:srgbClr val="DBC471"/>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7-1604-49EB-8462-165A25AB574A}"/>
              </c:ext>
            </c:extLst>
          </c:dPt>
          <c:dPt>
            <c:idx val="4"/>
            <c:bubble3D val="0"/>
            <c:spPr>
              <a:solidFill>
                <a:srgbClr val="DBC471"/>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9-1604-49EB-8462-165A25AB574A}"/>
              </c:ext>
            </c:extLst>
          </c:dPt>
          <c:dPt>
            <c:idx val="5"/>
            <c:bubble3D val="0"/>
            <c:spPr>
              <a:solidFill>
                <a:srgbClr val="DBC471"/>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B-1604-49EB-8462-165A25AB574A}"/>
              </c:ext>
            </c:extLst>
          </c:dPt>
          <c:dPt>
            <c:idx val="6"/>
            <c:bubble3D val="0"/>
            <c:spPr>
              <a:solidFill>
                <a:srgbClr val="DBC471"/>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D-1604-49EB-8462-165A25AB574A}"/>
              </c:ext>
            </c:extLst>
          </c:dPt>
          <c:dPt>
            <c:idx val="7"/>
            <c:bubble3D val="0"/>
            <c:spPr>
              <a:solidFill>
                <a:srgbClr val="DBC471"/>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F-1604-49EB-8462-165A25AB574A}"/>
              </c:ext>
            </c:extLst>
          </c:dPt>
          <c:dPt>
            <c:idx val="8"/>
            <c:bubble3D val="0"/>
            <c:spPr>
              <a:solidFill>
                <a:srgbClr val="DBC471"/>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11-1604-49EB-8462-165A25AB574A}"/>
              </c:ext>
            </c:extLst>
          </c:dPt>
          <c:dPt>
            <c:idx val="9"/>
            <c:bubble3D val="0"/>
            <c:spPr>
              <a:solidFill>
                <a:srgbClr val="DBC471"/>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13-1604-49EB-8462-165A25AB574A}"/>
              </c:ext>
            </c:extLst>
          </c:dPt>
          <c:dPt>
            <c:idx val="10"/>
            <c:bubble3D val="0"/>
            <c:spPr>
              <a:solidFill>
                <a:srgbClr val="DBC471"/>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15-1604-49EB-8462-165A25AB574A}"/>
              </c:ext>
            </c:extLst>
          </c:dPt>
          <c:dPt>
            <c:idx val="11"/>
            <c:bubble3D val="0"/>
            <c:spPr>
              <a:solidFill>
                <a:srgbClr val="DBC471"/>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17-1604-49EB-8462-165A25AB574A}"/>
              </c:ext>
            </c:extLst>
          </c:dPt>
          <c:dPt>
            <c:idx val="12"/>
            <c:bubble3D val="0"/>
            <c:spPr>
              <a:solidFill>
                <a:srgbClr val="DBC471"/>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19-1604-49EB-8462-165A25AB574A}"/>
              </c:ext>
            </c:extLst>
          </c:dPt>
          <c:dPt>
            <c:idx val="13"/>
            <c:bubble3D val="0"/>
            <c:spPr>
              <a:solidFill>
                <a:srgbClr val="DBC471"/>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1B-1604-49EB-8462-165A25AB574A}"/>
              </c:ext>
            </c:extLst>
          </c:dPt>
          <c:dPt>
            <c:idx val="14"/>
            <c:bubble3D val="0"/>
            <c:spPr>
              <a:solidFill>
                <a:srgbClr val="DBC471"/>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1D-1604-49EB-8462-165A25AB574A}"/>
              </c:ext>
            </c:extLst>
          </c:dPt>
          <c:dPt>
            <c:idx val="15"/>
            <c:bubble3D val="0"/>
            <c:spPr>
              <a:solidFill>
                <a:srgbClr val="DBC471"/>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1F-1604-49EB-8462-165A25AB574A}"/>
              </c:ext>
            </c:extLst>
          </c:dPt>
          <c:dPt>
            <c:idx val="16"/>
            <c:bubble3D val="0"/>
            <c:spPr>
              <a:solidFill>
                <a:srgbClr val="DBC471"/>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21-1604-49EB-8462-165A25AB574A}"/>
              </c:ext>
            </c:extLst>
          </c:dPt>
          <c:dLbls>
            <c:dLbl>
              <c:idx val="0"/>
              <c:layout>
                <c:manualLayout>
                  <c:x val="0.11530907774459226"/>
                  <c:y val="-1.8745225290642705E-3"/>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0"/>
              <c:showBubbleSize val="0"/>
              <c:extLst>
                <c:ext xmlns:c15="http://schemas.microsoft.com/office/drawing/2012/chart" uri="{CE6537A1-D6FC-4f65-9D91-7224C49458BB}">
                  <c15:layout>
                    <c:manualLayout>
                      <c:w val="0.28725032637818021"/>
                      <c:h val="0.13433390788837959"/>
                    </c:manualLayout>
                  </c15:layout>
                </c:ext>
                <c:ext xmlns:c16="http://schemas.microsoft.com/office/drawing/2014/chart" uri="{C3380CC4-5D6E-409C-BE32-E72D297353CC}">
                  <c16:uniqueId val="{00000001-1604-49EB-8462-165A25AB574A}"/>
                </c:ext>
              </c:extLst>
            </c:dLbl>
            <c:dLbl>
              <c:idx val="1"/>
              <c:layout>
                <c:manualLayout>
                  <c:x val="0.13210971867953114"/>
                  <c:y val="0.21166967002259046"/>
                </c:manualLayout>
              </c:layout>
              <c:tx>
                <c:rich>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fld id="{90990AC7-8673-4797-AEBE-A43D3253D9E3}" type="VALUE">
                      <a:rPr lang="en-US" sz="900"/>
                      <a:pPr>
                        <a:defRPr sz="900">
                          <a:solidFill>
                            <a:sysClr val="windowText" lastClr="000000"/>
                          </a:solidFill>
                        </a:defRPr>
                      </a:pPr>
                      <a:t>[ЗНАЧЕННЯ]</a:t>
                    </a:fld>
                    <a:r>
                      <a:rPr lang="en-US" sz="900"/>
                      <a:t> (65%)</a:t>
                    </a:r>
                  </a:p>
                </c:rich>
              </c:tx>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1604-49EB-8462-165A25AB574A}"/>
                </c:ext>
              </c:extLst>
            </c:dLbl>
            <c:dLbl>
              <c:idx val="2"/>
              <c:delete val="1"/>
              <c:extLst>
                <c:ext xmlns:c15="http://schemas.microsoft.com/office/drawing/2012/chart" uri="{CE6537A1-D6FC-4f65-9D91-7224C49458BB}"/>
                <c:ext xmlns:c16="http://schemas.microsoft.com/office/drawing/2014/chart" uri="{C3380CC4-5D6E-409C-BE32-E72D297353CC}">
                  <c16:uniqueId val="{00000005-1604-49EB-8462-165A25AB574A}"/>
                </c:ext>
              </c:extLst>
            </c:dLbl>
            <c:dLbl>
              <c:idx val="3"/>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0"/>
              <c:showBubbleSize val="0"/>
              <c:extLst>
                <c:ext xmlns:c16="http://schemas.microsoft.com/office/drawing/2014/chart" uri="{C3380CC4-5D6E-409C-BE32-E72D297353CC}">
                  <c16:uniqueId val="{00000007-1604-49EB-8462-165A25AB574A}"/>
                </c:ext>
              </c:extLst>
            </c:dLbl>
            <c:dLbl>
              <c:idx val="4"/>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0"/>
              <c:showBubbleSize val="0"/>
              <c:extLst>
                <c:ext xmlns:c16="http://schemas.microsoft.com/office/drawing/2014/chart" uri="{C3380CC4-5D6E-409C-BE32-E72D297353CC}">
                  <c16:uniqueId val="{00000009-1604-49EB-8462-165A25AB574A}"/>
                </c:ext>
              </c:extLst>
            </c:dLbl>
            <c:dLbl>
              <c:idx val="5"/>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0"/>
              <c:showBubbleSize val="0"/>
              <c:extLst>
                <c:ext xmlns:c16="http://schemas.microsoft.com/office/drawing/2014/chart" uri="{C3380CC4-5D6E-409C-BE32-E72D297353CC}">
                  <c16:uniqueId val="{0000000B-1604-49EB-8462-165A25AB574A}"/>
                </c:ext>
              </c:extLst>
            </c:dLbl>
            <c:dLbl>
              <c:idx val="6"/>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0"/>
              <c:showBubbleSize val="0"/>
              <c:extLst>
                <c:ext xmlns:c16="http://schemas.microsoft.com/office/drawing/2014/chart" uri="{C3380CC4-5D6E-409C-BE32-E72D297353CC}">
                  <c16:uniqueId val="{0000000D-1604-49EB-8462-165A25AB574A}"/>
                </c:ext>
              </c:extLst>
            </c:dLbl>
            <c:dLbl>
              <c:idx val="7"/>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0"/>
              <c:showBubbleSize val="0"/>
              <c:extLst>
                <c:ext xmlns:c16="http://schemas.microsoft.com/office/drawing/2014/chart" uri="{C3380CC4-5D6E-409C-BE32-E72D297353CC}">
                  <c16:uniqueId val="{0000000F-1604-49EB-8462-165A25AB574A}"/>
                </c:ext>
              </c:extLst>
            </c:dLbl>
            <c:dLbl>
              <c:idx val="8"/>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0"/>
              <c:showBubbleSize val="0"/>
              <c:extLst>
                <c:ext xmlns:c16="http://schemas.microsoft.com/office/drawing/2014/chart" uri="{C3380CC4-5D6E-409C-BE32-E72D297353CC}">
                  <c16:uniqueId val="{00000011-1604-49EB-8462-165A25AB574A}"/>
                </c:ext>
              </c:extLst>
            </c:dLbl>
            <c:dLbl>
              <c:idx val="9"/>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0"/>
              <c:showBubbleSize val="0"/>
              <c:extLst>
                <c:ext xmlns:c16="http://schemas.microsoft.com/office/drawing/2014/chart" uri="{C3380CC4-5D6E-409C-BE32-E72D297353CC}">
                  <c16:uniqueId val="{00000013-1604-49EB-8462-165A25AB574A}"/>
                </c:ext>
              </c:extLst>
            </c:dLbl>
            <c:dLbl>
              <c:idx val="10"/>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0"/>
              <c:showBubbleSize val="0"/>
              <c:extLst>
                <c:ext xmlns:c16="http://schemas.microsoft.com/office/drawing/2014/chart" uri="{C3380CC4-5D6E-409C-BE32-E72D297353CC}">
                  <c16:uniqueId val="{00000015-1604-49EB-8462-165A25AB574A}"/>
                </c:ext>
              </c:extLst>
            </c:dLbl>
            <c:dLbl>
              <c:idx val="11"/>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0"/>
              <c:showBubbleSize val="0"/>
              <c:extLst>
                <c:ext xmlns:c16="http://schemas.microsoft.com/office/drawing/2014/chart" uri="{C3380CC4-5D6E-409C-BE32-E72D297353CC}">
                  <c16:uniqueId val="{00000017-1604-49EB-8462-165A25AB574A}"/>
                </c:ext>
              </c:extLst>
            </c:dLbl>
            <c:dLbl>
              <c:idx val="12"/>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0"/>
              <c:showBubbleSize val="0"/>
              <c:extLst>
                <c:ext xmlns:c16="http://schemas.microsoft.com/office/drawing/2014/chart" uri="{C3380CC4-5D6E-409C-BE32-E72D297353CC}">
                  <c16:uniqueId val="{00000019-1604-49EB-8462-165A25AB574A}"/>
                </c:ext>
              </c:extLst>
            </c:dLbl>
            <c:dLbl>
              <c:idx val="13"/>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0"/>
              <c:showBubbleSize val="0"/>
              <c:extLst>
                <c:ext xmlns:c16="http://schemas.microsoft.com/office/drawing/2014/chart" uri="{C3380CC4-5D6E-409C-BE32-E72D297353CC}">
                  <c16:uniqueId val="{0000001B-1604-49EB-8462-165A25AB574A}"/>
                </c:ext>
              </c:extLst>
            </c:dLbl>
            <c:dLbl>
              <c:idx val="14"/>
              <c:layout>
                <c:manualLayout>
                  <c:x val="5.1423324150596875E-2"/>
                  <c:y val="1.3265492976168696E-2"/>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endParaRPr lang="uk-UA"/>
                </a:p>
              </c:txPr>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D-1604-49EB-8462-165A25AB574A}"/>
                </c:ext>
              </c:extLst>
            </c:dLbl>
            <c:dLbl>
              <c:idx val="15"/>
              <c:layout>
                <c:manualLayout>
                  <c:x val="5.6932966023875112E-2"/>
                  <c:y val="4.8577183665995241E-2"/>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endParaRPr lang="uk-UA"/>
                </a:p>
              </c:txPr>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F-1604-49EB-8462-165A25AB574A}"/>
                </c:ext>
              </c:extLst>
            </c:dLbl>
            <c:dLbl>
              <c:idx val="16"/>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0"/>
              <c:showBubbleSize val="0"/>
              <c:extLst>
                <c:ext xmlns:c16="http://schemas.microsoft.com/office/drawing/2014/chart" uri="{C3380CC4-5D6E-409C-BE32-E72D297353CC}">
                  <c16:uniqueId val="{00000021-1604-49EB-8462-165A25AB574A}"/>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ysClr val="windowText" lastClr="000000"/>
                    </a:solidFill>
                    <a:latin typeface="+mn-lt"/>
                    <a:ea typeface="+mn-ea"/>
                    <a:cs typeface="+mn-cs"/>
                  </a:defRPr>
                </a:pPr>
                <a:endParaRPr lang="uk-UA"/>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'загальна інфа'!$D$20:$D$21</c:f>
              <c:strCache>
                <c:ptCount val="2"/>
                <c:pt idx="0">
                  <c:v>працюючі суб'єкти господарювання </c:v>
                </c:pt>
                <c:pt idx="1">
                  <c:v>прибуткові</c:v>
                </c:pt>
              </c:strCache>
            </c:strRef>
          </c:cat>
          <c:val>
            <c:numRef>
              <c:f>'загальна інфа'!$E$20:$E$21</c:f>
              <c:numCache>
                <c:formatCode>0</c:formatCode>
                <c:ptCount val="2"/>
                <c:pt idx="0" formatCode="General">
                  <c:v>1458</c:v>
                </c:pt>
                <c:pt idx="1">
                  <c:v>947</c:v>
                </c:pt>
              </c:numCache>
            </c:numRef>
          </c:val>
          <c:extLst>
            <c:ext xmlns:c16="http://schemas.microsoft.com/office/drawing/2014/chart" uri="{C3380CC4-5D6E-409C-BE32-E72D297353CC}">
              <c16:uniqueId val="{00000022-1604-49EB-8462-165A25AB574A}"/>
            </c:ext>
          </c:extLst>
        </c:ser>
        <c:dLbls>
          <c:showLegendKey val="0"/>
          <c:showVal val="0"/>
          <c:showCatName val="0"/>
          <c:showSerName val="0"/>
          <c:showPercent val="0"/>
          <c:showBubbleSize val="0"/>
          <c:showLeaderLines val="1"/>
        </c:dLbls>
        <c:gapWidth val="100"/>
        <c:secondPieSize val="75"/>
        <c:serLines>
          <c:spPr>
            <a:ln w="9525" cap="flat" cmpd="sng" algn="ctr">
              <a:solidFill>
                <a:schemeClr val="tx1">
                  <a:lumMod val="35000"/>
                  <a:lumOff val="65000"/>
                </a:schemeClr>
              </a:solidFill>
              <a:round/>
            </a:ln>
            <a:effectLst/>
          </c:spPr>
        </c:serLines>
      </c:ofPieChart>
      <c:spPr>
        <a:noFill/>
        <a:ln>
          <a:noFill/>
        </a:ln>
        <a:effectLst/>
      </c:spPr>
    </c:plotArea>
    <c:legend>
      <c:legendPos val="b"/>
      <c:layout>
        <c:manualLayout>
          <c:xMode val="edge"/>
          <c:yMode val="edge"/>
          <c:x val="4.5551975996038323E-3"/>
          <c:y val="0.8709873597932587"/>
          <c:w val="0.99544482844621796"/>
          <c:h val="0.10936002402684739"/>
        </c:manualLayout>
      </c:layout>
      <c:overlay val="1"/>
      <c:spPr>
        <a:noFill/>
        <a:ln>
          <a:noFill/>
        </a:ln>
        <a:effectLst/>
      </c:spPr>
      <c:txPr>
        <a:bodyPr rot="0" spcFirstLastPara="1" vertOverflow="ellipsis" vert="horz" wrap="square" anchor="ctr" anchorCtr="1"/>
        <a:lstStyle/>
        <a:p>
          <a:pPr rtl="0">
            <a:defRPr sz="800" b="1"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mn-lt"/>
                <a:ea typeface="+mn-ea"/>
                <a:cs typeface="+mn-cs"/>
              </a:defRPr>
            </a:pPr>
            <a:r>
              <a:rPr lang="uk-UA" sz="1000" b="1"/>
              <a:t>Динаміка</a:t>
            </a:r>
            <a:r>
              <a:rPr lang="uk-UA" sz="1000" b="1" baseline="0"/>
              <a:t> с</a:t>
            </a:r>
            <a:r>
              <a:rPr lang="uk-UA" sz="1000" b="1"/>
              <a:t>плати суб’єктами господарювання податків, зборів та інших платежів </a:t>
            </a:r>
            <a:r>
              <a:rPr lang="uk-UA" sz="1000" b="1" i="0" u="none" strike="noStrike" baseline="0">
                <a:effectLst/>
              </a:rPr>
              <a:t>до державного бюджету </a:t>
            </a:r>
            <a:r>
              <a:rPr lang="uk-UA" sz="1000" b="1"/>
              <a:t>у 2019 - 2020 роках</a:t>
            </a:r>
          </a:p>
        </c:rich>
      </c:tx>
      <c:layout>
        <c:manualLayout>
          <c:xMode val="edge"/>
          <c:yMode val="edge"/>
          <c:x val="0.11885210481286525"/>
          <c:y val="0"/>
        </c:manualLayout>
      </c:layout>
      <c:overlay val="0"/>
      <c:spPr>
        <a:noFill/>
        <a:ln>
          <a:noFill/>
        </a:ln>
        <a:effectLst/>
      </c:spPr>
      <c:txPr>
        <a:bodyPr rot="0" spcFirstLastPara="1" vertOverflow="ellipsis" vert="horz" wrap="square" anchor="ctr" anchorCtr="1"/>
        <a:lstStyle/>
        <a:p>
          <a:pPr>
            <a:defRPr sz="1000" b="0" i="0" u="none" strike="noStrike" kern="1200" spc="0" baseline="0">
              <a:solidFill>
                <a:schemeClr val="tx1">
                  <a:lumMod val="65000"/>
                  <a:lumOff val="35000"/>
                </a:schemeClr>
              </a:solidFill>
              <a:latin typeface="+mn-lt"/>
              <a:ea typeface="+mn-ea"/>
              <a:cs typeface="+mn-cs"/>
            </a:defRPr>
          </a:pPr>
          <a:endParaRPr lang="uk-UA"/>
        </a:p>
      </c:txPr>
    </c:title>
    <c:autoTitleDeleted val="0"/>
    <c:plotArea>
      <c:layout>
        <c:manualLayout>
          <c:layoutTarget val="inner"/>
          <c:xMode val="edge"/>
          <c:yMode val="edge"/>
          <c:x val="9.7449808801098409E-2"/>
          <c:y val="0.20348768730778458"/>
          <c:w val="0.87232958074257039"/>
          <c:h val="0.53897718197070155"/>
        </c:manualLayout>
      </c:layout>
      <c:areaChart>
        <c:grouping val="stacked"/>
        <c:varyColors val="0"/>
        <c:ser>
          <c:idx val="0"/>
          <c:order val="0"/>
          <c:tx>
            <c:strRef>
              <c:f>'Основні пок ДФС'!$A$30</c:f>
              <c:strCache>
                <c:ptCount val="1"/>
                <c:pt idx="0">
                  <c:v>сплачено суб’єктами господарювання в Україні разом</c:v>
                </c:pt>
              </c:strCache>
            </c:strRef>
          </c:tx>
          <c:spPr>
            <a:solidFill>
              <a:schemeClr val="bg1">
                <a:lumMod val="75000"/>
              </a:schemeClr>
            </a:solidFill>
            <a:ln>
              <a:noFill/>
            </a:ln>
            <a:effectLst/>
          </c:spPr>
          <c:dLbls>
            <c:dLbl>
              <c:idx val="0"/>
              <c:layout>
                <c:manualLayout>
                  <c:x val="-5.0526322468984219E-4"/>
                  <c:y val="-0.25860616661088975"/>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578-4C3D-8038-B875FE9EB605}"/>
                </c:ext>
              </c:extLst>
            </c:dLbl>
            <c:dLbl>
              <c:idx val="1"/>
              <c:layout>
                <c:manualLayout>
                  <c:x val="1.133629828456393E-3"/>
                  <c:y val="-0.22311863371649182"/>
                </c:manualLayout>
              </c:layout>
              <c:tx>
                <c:rich>
                  <a:bodyPr/>
                  <a:lstStyle/>
                  <a:p>
                    <a:fld id="{8EF0C034-50C5-4A44-81C0-289531404496}" type="VALUE">
                      <a:rPr lang="en-US"/>
                      <a:pPr/>
                      <a:t>[ЗНАЧЕННЯ]</a:t>
                    </a:fld>
                    <a:r>
                      <a:rPr lang="en-US"/>
                      <a:t> </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7578-4C3D-8038-B875FE9EB605}"/>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'Основні пок ДФС'!$B$29:$C$29</c:f>
              <c:strCache>
                <c:ptCount val="2"/>
                <c:pt idx="0">
                  <c:v>2019 рік</c:v>
                </c:pt>
                <c:pt idx="1">
                  <c:v>2020 рік</c:v>
                </c:pt>
              </c:strCache>
            </c:strRef>
          </c:cat>
          <c:val>
            <c:numRef>
              <c:f>'Основні пок ДФС'!$B$30:$C$30</c:f>
              <c:numCache>
                <c:formatCode>#\ ##0.0</c:formatCode>
                <c:ptCount val="2"/>
                <c:pt idx="0">
                  <c:v>814.53527248</c:v>
                </c:pt>
                <c:pt idx="1">
                  <c:v>570.84152982814999</c:v>
                </c:pt>
              </c:numCache>
            </c:numRef>
          </c:val>
          <c:extLst>
            <c:ext xmlns:c16="http://schemas.microsoft.com/office/drawing/2014/chart" uri="{C3380CC4-5D6E-409C-BE32-E72D297353CC}">
              <c16:uniqueId val="{00000002-7578-4C3D-8038-B875FE9EB605}"/>
            </c:ext>
          </c:extLst>
        </c:ser>
        <c:dLbls>
          <c:showLegendKey val="0"/>
          <c:showVal val="0"/>
          <c:showCatName val="0"/>
          <c:showSerName val="0"/>
          <c:showPercent val="0"/>
          <c:showBubbleSize val="0"/>
        </c:dLbls>
        <c:axId val="593861184"/>
        <c:axId val="593863264"/>
      </c:areaChart>
      <c:barChart>
        <c:barDir val="col"/>
        <c:grouping val="clustered"/>
        <c:varyColors val="0"/>
        <c:ser>
          <c:idx val="1"/>
          <c:order val="1"/>
          <c:tx>
            <c:strRef>
              <c:f>'Основні пок ДФС'!$A$31</c:f>
              <c:strCache>
                <c:ptCount val="1"/>
                <c:pt idx="0">
                  <c:v>сплачено суб’єктами господарювання державного сектору економіки</c:v>
                </c:pt>
              </c:strCache>
            </c:strRef>
          </c:tx>
          <c:spPr>
            <a:solidFill>
              <a:srgbClr val="FFC000"/>
            </a:solidFill>
            <a:ln>
              <a:noFill/>
            </a:ln>
            <a:effectLst/>
          </c:spPr>
          <c:invertIfNegative val="0"/>
          <c:dLbls>
            <c:dLbl>
              <c:idx val="0"/>
              <c:layout>
                <c:manualLayout>
                  <c:x val="-5.3815371899908739E-2"/>
                  <c:y val="2.5297880266971343E-2"/>
                </c:manualLayout>
              </c:layout>
              <c:tx>
                <c:rich>
                  <a:bodyPr/>
                  <a:lstStyle/>
                  <a:p>
                    <a:fld id="{FF11B49D-E2BC-4CEB-8129-704164EEFE5E}" type="VALUE">
                      <a:rPr lang="en-US"/>
                      <a:pPr/>
                      <a:t>[ЗНАЧЕННЯ]</a:t>
                    </a:fld>
                    <a:endParaRPr lang="uk-UA"/>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7578-4C3D-8038-B875FE9EB605}"/>
                </c:ext>
              </c:extLst>
            </c:dLbl>
            <c:dLbl>
              <c:idx val="1"/>
              <c:layout>
                <c:manualLayout>
                  <c:x val="5.0274563367702335E-2"/>
                  <c:y val="2.8494212882571715E-2"/>
                </c:manualLayout>
              </c:layout>
              <c:tx>
                <c:rich>
                  <a:bodyPr/>
                  <a:lstStyle/>
                  <a:p>
                    <a:fld id="{8CC25307-92FC-4F89-B806-9DAE8C5B6F44}" type="VALUE">
                      <a:rPr lang="en-US"/>
                      <a:pPr/>
                      <a:t>[ЗНАЧЕННЯ]</a:t>
                    </a:fld>
                    <a:endParaRPr lang="uk-UA"/>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4-7578-4C3D-8038-B875FE9EB605}"/>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'Основні пок ДФС'!$B$29:$C$29</c:f>
              <c:strCache>
                <c:ptCount val="2"/>
                <c:pt idx="0">
                  <c:v>2019 рік</c:v>
                </c:pt>
                <c:pt idx="1">
                  <c:v>2020 рік</c:v>
                </c:pt>
              </c:strCache>
            </c:strRef>
          </c:cat>
          <c:val>
            <c:numRef>
              <c:f>'Основні пок ДФС'!$B$31:$C$31</c:f>
              <c:numCache>
                <c:formatCode>#\ ##0.0</c:formatCode>
                <c:ptCount val="2"/>
                <c:pt idx="0">
                  <c:v>107.3666862</c:v>
                </c:pt>
                <c:pt idx="1">
                  <c:v>137.90414150000001</c:v>
                </c:pt>
              </c:numCache>
            </c:numRef>
          </c:val>
          <c:extLst>
            <c:ext xmlns:c16="http://schemas.microsoft.com/office/drawing/2014/chart" uri="{C3380CC4-5D6E-409C-BE32-E72D297353CC}">
              <c16:uniqueId val="{00000005-7578-4C3D-8038-B875FE9EB605}"/>
            </c:ext>
          </c:extLst>
        </c:ser>
        <c:dLbls>
          <c:showLegendKey val="0"/>
          <c:showVal val="0"/>
          <c:showCatName val="0"/>
          <c:showSerName val="0"/>
          <c:showPercent val="0"/>
          <c:showBubbleSize val="0"/>
        </c:dLbls>
        <c:gapWidth val="219"/>
        <c:overlap val="-27"/>
        <c:axId val="593861184"/>
        <c:axId val="593863264"/>
      </c:barChart>
      <c:catAx>
        <c:axId val="5938611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593863264"/>
        <c:crosses val="autoZero"/>
        <c:auto val="1"/>
        <c:lblAlgn val="ctr"/>
        <c:lblOffset val="100"/>
        <c:noMultiLvlLbl val="0"/>
      </c:catAx>
      <c:valAx>
        <c:axId val="59386326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uk-UA" sz="900" b="0" i="0" baseline="0">
                    <a:effectLst/>
                  </a:rPr>
                  <a:t>млрд гривень</a:t>
                </a:r>
                <a:endParaRPr lang="uk-UA" sz="900" b="0">
                  <a:effectLst/>
                </a:endParaRPr>
              </a:p>
            </c:rich>
          </c:tx>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title>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593861184"/>
        <c:crosses val="autoZero"/>
        <c:crossBetween val="between"/>
      </c:valAx>
      <c:spPr>
        <a:noFill/>
        <a:ln>
          <a:noFill/>
        </a:ln>
        <a:effectLst/>
      </c:spPr>
    </c:plotArea>
    <c:legend>
      <c:legendPos val="b"/>
      <c:layout>
        <c:manualLayout>
          <c:xMode val="edge"/>
          <c:yMode val="edge"/>
          <c:x val="0"/>
          <c:y val="0.86115034789626355"/>
          <c:w val="0.98799948283889716"/>
          <c:h val="9.0014275785302203E-2"/>
        </c:manualLayout>
      </c:layout>
      <c:overlay val="0"/>
      <c:spPr>
        <a:noFill/>
        <a:ln>
          <a:noFill/>
        </a:ln>
        <a:effectLst/>
      </c:spPr>
      <c:txPr>
        <a:bodyPr rot="0" spcFirstLastPara="1" vertOverflow="ellipsis" vert="horz" wrap="square" anchor="ctr" anchorCtr="1"/>
        <a:lstStyle/>
        <a:p>
          <a:pPr>
            <a:defRPr sz="800" b="1"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1" i="0" u="none" strike="noStrike" kern="1200" spc="0" baseline="0">
                <a:solidFill>
                  <a:schemeClr val="tx1">
                    <a:lumMod val="65000"/>
                    <a:lumOff val="35000"/>
                  </a:schemeClr>
                </a:solidFill>
                <a:latin typeface="+mn-lt"/>
                <a:ea typeface="+mn-ea"/>
                <a:cs typeface="+mn-cs"/>
              </a:defRPr>
            </a:pPr>
            <a:r>
              <a:rPr lang="uk-UA" sz="1000" b="1"/>
              <a:t>Динаміка сплати до державного бюджету податків, зборів та інших платежів с</a:t>
            </a:r>
            <a:r>
              <a:rPr lang="uk-UA" sz="1000" b="1" i="0" u="none" strike="noStrike" baseline="0">
                <a:effectLst/>
              </a:rPr>
              <a:t>уб’єктами господарювання – найбільшими платниками таких платежів</a:t>
            </a:r>
            <a:r>
              <a:rPr lang="en-US" sz="1000" b="1" i="0" u="none" strike="noStrike" baseline="0">
                <a:effectLst/>
              </a:rPr>
              <a:t> </a:t>
            </a:r>
            <a:r>
              <a:rPr lang="uk-UA" sz="1000" b="1" i="0" u="none" strike="noStrike" baseline="0">
                <a:effectLst/>
              </a:rPr>
              <a:t>у 2019 - 2020 роках</a:t>
            </a:r>
            <a:endParaRPr lang="uk-UA" sz="1000" b="1"/>
          </a:p>
        </c:rich>
      </c:tx>
      <c:layout>
        <c:manualLayout>
          <c:xMode val="edge"/>
          <c:yMode val="edge"/>
          <c:x val="0.10138069064688825"/>
          <c:y val="0"/>
        </c:manualLayout>
      </c:layout>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mn-lt"/>
              <a:ea typeface="+mn-ea"/>
              <a:cs typeface="+mn-cs"/>
            </a:defRPr>
          </a:pPr>
          <a:endParaRPr lang="uk-UA"/>
        </a:p>
      </c:txPr>
    </c:title>
    <c:autoTitleDeleted val="0"/>
    <c:view3D>
      <c:rotX val="0"/>
      <c:rotY val="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8.0076339542922995E-2"/>
          <c:y val="0.14601298719592073"/>
          <c:w val="0.84512355162921693"/>
          <c:h val="0.57411540686929985"/>
        </c:manualLayout>
      </c:layout>
      <c:bar3DChart>
        <c:barDir val="col"/>
        <c:grouping val="clustered"/>
        <c:varyColors val="0"/>
        <c:ser>
          <c:idx val="0"/>
          <c:order val="0"/>
          <c:tx>
            <c:strRef>
              <c:f>податки!$B$7</c:f>
              <c:strCache>
                <c:ptCount val="1"/>
                <c:pt idx="0">
                  <c:v>2019 рік</c:v>
                </c:pt>
              </c:strCache>
            </c:strRef>
          </c:tx>
          <c:spPr>
            <a:solidFill>
              <a:schemeClr val="bg1">
                <a:lumMod val="50000"/>
              </a:schemeClr>
            </a:solidFill>
            <a:ln>
              <a:noFill/>
            </a:ln>
            <a:effectLst/>
            <a:sp3d/>
          </c:spPr>
          <c:invertIfNegative val="0"/>
          <c:dLbls>
            <c:dLbl>
              <c:idx val="0"/>
              <c:layout>
                <c:manualLayout>
                  <c:x val="-4.0314452731304174E-3"/>
                  <c:y val="1.763459432063899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E79-40CE-A007-C6D6B452C7D2}"/>
                </c:ext>
              </c:extLst>
            </c:dLbl>
            <c:dLbl>
              <c:idx val="1"/>
              <c:layout>
                <c:manualLayout>
                  <c:x val="-6.0471679096956261E-3"/>
                  <c:y val="1.593241983858517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E79-40CE-A007-C6D6B452C7D2}"/>
                </c:ext>
              </c:extLst>
            </c:dLbl>
            <c:dLbl>
              <c:idx val="2"/>
              <c:layout>
                <c:manualLayout>
                  <c:x val="0"/>
                  <c:y val="8.469193309337208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E79-40CE-A007-C6D6B452C7D2}"/>
                </c:ext>
              </c:extLst>
            </c:dLbl>
            <c:dLbl>
              <c:idx val="3"/>
              <c:layout>
                <c:manualLayout>
                  <c:x val="-5.0251256281407036E-3"/>
                  <c:y val="4.582642178277686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E79-40CE-A007-C6D6B452C7D2}"/>
                </c:ext>
              </c:extLst>
            </c:dLbl>
            <c:dLbl>
              <c:idx val="6"/>
              <c:layout>
                <c:manualLayout>
                  <c:x val="-2.0157226365652087E-3"/>
                  <c:y val="1.270378996400592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0E79-40CE-A007-C6D6B452C7D2}"/>
                </c:ext>
              </c:extLst>
            </c:dLbl>
            <c:spPr>
              <a:noFill/>
              <a:ln>
                <a:noFill/>
              </a:ln>
              <a:effectLst/>
            </c:spPr>
            <c:txPr>
              <a:bodyPr rot="0" spcFirstLastPara="1" vertOverflow="ellipsis" vert="horz" wrap="square" lIns="38100" tIns="19050" rIns="38100" bIns="19050" anchor="ctr" anchorCtr="1">
                <a:spAutoFit/>
              </a:bodyPr>
              <a:lstStyle/>
              <a:p>
                <a:pPr>
                  <a:defRPr sz="700" b="1"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податки!$A$8:$A$15</c:f>
              <c:strCache>
                <c:ptCount val="8"/>
                <c:pt idx="0">
                  <c:v>НАК «Нафтогаз України»</c:v>
                </c:pt>
                <c:pt idx="1">
                  <c:v>АТ «Укрнафта»</c:v>
                </c:pt>
                <c:pt idx="2">
                  <c:v>АТ «Укргазвидобування»</c:v>
                </c:pt>
                <c:pt idx="3">
                  <c:v>ДП НАЕК «Енергоатом»</c:v>
                </c:pt>
                <c:pt idx="4">
                  <c:v>АТ «Укрзалізниця»</c:v>
                </c:pt>
                <c:pt idx="5">
                  <c:v>АТ «Укртрансгаз»</c:v>
                </c:pt>
                <c:pt idx="6">
                  <c:v>НЕК «Укренерго»</c:v>
                </c:pt>
                <c:pt idx="7">
                  <c:v>ПрАТ «Укргідроенерго»</c:v>
                </c:pt>
              </c:strCache>
            </c:strRef>
          </c:cat>
          <c:val>
            <c:numRef>
              <c:f>податки!$B$8:$B$15</c:f>
              <c:numCache>
                <c:formatCode>#\ ##0.0</c:formatCode>
                <c:ptCount val="8"/>
                <c:pt idx="0">
                  <c:v>34.075825399999999</c:v>
                </c:pt>
                <c:pt idx="1">
                  <c:v>11.945155131330001</c:v>
                </c:pt>
                <c:pt idx="2">
                  <c:v>34.681707715809999</c:v>
                </c:pt>
                <c:pt idx="3">
                  <c:v>13.195249609999999</c:v>
                </c:pt>
                <c:pt idx="4">
                  <c:v>8.6874086599999991</c:v>
                </c:pt>
                <c:pt idx="5">
                  <c:v>6.2767670000000004</c:v>
                </c:pt>
                <c:pt idx="6">
                  <c:v>3.0191489100000002</c:v>
                </c:pt>
                <c:pt idx="7">
                  <c:v>1.5680984600000001</c:v>
                </c:pt>
              </c:numCache>
            </c:numRef>
          </c:val>
          <c:extLst>
            <c:ext xmlns:c16="http://schemas.microsoft.com/office/drawing/2014/chart" uri="{C3380CC4-5D6E-409C-BE32-E72D297353CC}">
              <c16:uniqueId val="{00000005-0E79-40CE-A007-C6D6B452C7D2}"/>
            </c:ext>
          </c:extLst>
        </c:ser>
        <c:ser>
          <c:idx val="1"/>
          <c:order val="1"/>
          <c:tx>
            <c:strRef>
              <c:f>податки!$C$7</c:f>
              <c:strCache>
                <c:ptCount val="1"/>
                <c:pt idx="0">
                  <c:v>2020 рік</c:v>
                </c:pt>
              </c:strCache>
            </c:strRef>
          </c:tx>
          <c:spPr>
            <a:solidFill>
              <a:srgbClr val="FFC000"/>
            </a:solidFill>
            <a:ln>
              <a:noFill/>
            </a:ln>
            <a:effectLst/>
            <a:sp3d/>
          </c:spPr>
          <c:invertIfNegative val="0"/>
          <c:dLbls>
            <c:dLbl>
              <c:idx val="0"/>
              <c:layout>
                <c:manualLayout>
                  <c:x val="-2.0157160233019653E-3"/>
                  <c:y val="2.495407572343078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0E79-40CE-A007-C6D6B452C7D2}"/>
                </c:ext>
              </c:extLst>
            </c:dLbl>
            <c:dLbl>
              <c:idx val="1"/>
              <c:layout>
                <c:manualLayout>
                  <c:x val="-1.674988797132103E-3"/>
                  <c:y val="7.0849765962963307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0E79-40CE-A007-C6D6B452C7D2}"/>
                </c:ext>
              </c:extLst>
            </c:dLbl>
            <c:dLbl>
              <c:idx val="2"/>
              <c:layout>
                <c:manualLayout>
                  <c:x val="1.3627554769723529E-3"/>
                  <c:y val="1.402451731433210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0E79-40CE-A007-C6D6B452C7D2}"/>
                </c:ext>
              </c:extLst>
            </c:dLbl>
            <c:dLbl>
              <c:idx val="3"/>
              <c:layout>
                <c:manualLayout>
                  <c:x val="1.0219872485703447E-3"/>
                  <c:y val="1.073378913325998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0E79-40CE-A007-C6D6B452C7D2}"/>
                </c:ext>
              </c:extLst>
            </c:dLbl>
            <c:dLbl>
              <c:idx val="4"/>
              <c:layout>
                <c:manualLayout>
                  <c:x val="-1.6750418760470239E-3"/>
                  <c:y val="4.582642178277770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0E79-40CE-A007-C6D6B452C7D2}"/>
                </c:ext>
              </c:extLst>
            </c:dLbl>
            <c:dLbl>
              <c:idx val="6"/>
              <c:layout>
                <c:manualLayout>
                  <c:x val="2.0157226365652087E-3"/>
                  <c:y val="1.270378996400592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0E79-40CE-A007-C6D6B452C7D2}"/>
                </c:ext>
              </c:extLst>
            </c:dLbl>
            <c:dLbl>
              <c:idx val="7"/>
              <c:layout>
                <c:manualLayout>
                  <c:x val="0"/>
                  <c:y val="8.469193309337284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0E79-40CE-A007-C6D6B452C7D2}"/>
                </c:ext>
              </c:extLst>
            </c:dLbl>
            <c:spPr>
              <a:noFill/>
              <a:ln>
                <a:noFill/>
              </a:ln>
              <a:effectLst/>
            </c:spPr>
            <c:txPr>
              <a:bodyPr rot="0" spcFirstLastPara="1" vertOverflow="ellipsis" vert="horz" wrap="square" lIns="38100" tIns="19050" rIns="38100" bIns="19050" anchor="ctr" anchorCtr="1">
                <a:spAutoFit/>
              </a:bodyPr>
              <a:lstStyle/>
              <a:p>
                <a:pPr>
                  <a:defRPr sz="700" b="1"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податки!$A$8:$A$15</c:f>
              <c:strCache>
                <c:ptCount val="8"/>
                <c:pt idx="0">
                  <c:v>НАК «Нафтогаз України»</c:v>
                </c:pt>
                <c:pt idx="1">
                  <c:v>АТ «Укрнафта»</c:v>
                </c:pt>
                <c:pt idx="2">
                  <c:v>АТ «Укргазвидобування»</c:v>
                </c:pt>
                <c:pt idx="3">
                  <c:v>ДП НАЕК «Енергоатом»</c:v>
                </c:pt>
                <c:pt idx="4">
                  <c:v>АТ «Укрзалізниця»</c:v>
                </c:pt>
                <c:pt idx="5">
                  <c:v>АТ «Укртрансгаз»</c:v>
                </c:pt>
                <c:pt idx="6">
                  <c:v>НЕК «Укренерго»</c:v>
                </c:pt>
                <c:pt idx="7">
                  <c:v>ПрАТ «Укргідроенерго»</c:v>
                </c:pt>
              </c:strCache>
            </c:strRef>
          </c:cat>
          <c:val>
            <c:numRef>
              <c:f>податки!$C$8:$C$15</c:f>
              <c:numCache>
                <c:formatCode>#\ ##0.0</c:formatCode>
                <c:ptCount val="8"/>
                <c:pt idx="0">
                  <c:v>58.267311550000002</c:v>
                </c:pt>
                <c:pt idx="1">
                  <c:v>44.075428772629998</c:v>
                </c:pt>
                <c:pt idx="2">
                  <c:v>26.09963632857</c:v>
                </c:pt>
                <c:pt idx="3">
                  <c:v>7.3819953199999997</c:v>
                </c:pt>
                <c:pt idx="4">
                  <c:v>6.06343253</c:v>
                </c:pt>
                <c:pt idx="5">
                  <c:v>3.2825696299999998</c:v>
                </c:pt>
                <c:pt idx="6">
                  <c:v>3.5331506290000001</c:v>
                </c:pt>
                <c:pt idx="7">
                  <c:v>2.8754613199999999</c:v>
                </c:pt>
              </c:numCache>
            </c:numRef>
          </c:val>
          <c:extLst>
            <c:ext xmlns:c16="http://schemas.microsoft.com/office/drawing/2014/chart" uri="{C3380CC4-5D6E-409C-BE32-E72D297353CC}">
              <c16:uniqueId val="{0000000D-0E79-40CE-A007-C6D6B452C7D2}"/>
            </c:ext>
          </c:extLst>
        </c:ser>
        <c:dLbls>
          <c:showLegendKey val="0"/>
          <c:showVal val="0"/>
          <c:showCatName val="0"/>
          <c:showSerName val="0"/>
          <c:showPercent val="0"/>
          <c:showBubbleSize val="0"/>
        </c:dLbls>
        <c:gapWidth val="150"/>
        <c:shape val="box"/>
        <c:axId val="1632652415"/>
        <c:axId val="1632652831"/>
        <c:axId val="0"/>
      </c:bar3DChart>
      <c:catAx>
        <c:axId val="1632652415"/>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600" b="1" i="0" u="none" strike="noStrike" kern="1200" baseline="0">
                <a:solidFill>
                  <a:schemeClr val="tx1">
                    <a:lumMod val="65000"/>
                    <a:lumOff val="35000"/>
                  </a:schemeClr>
                </a:solidFill>
                <a:latin typeface="+mn-lt"/>
                <a:ea typeface="+mn-ea"/>
                <a:cs typeface="+mn-cs"/>
              </a:defRPr>
            </a:pPr>
            <a:endParaRPr lang="uk-UA"/>
          </a:p>
        </c:txPr>
        <c:crossAx val="1632652831"/>
        <c:crosses val="autoZero"/>
        <c:auto val="1"/>
        <c:lblAlgn val="ctr"/>
        <c:lblOffset val="100"/>
        <c:noMultiLvlLbl val="0"/>
      </c:catAx>
      <c:valAx>
        <c:axId val="1632652831"/>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uk-UA" sz="900" b="0" i="0" baseline="0">
                    <a:effectLst/>
                  </a:rPr>
                  <a:t>млрд гривень</a:t>
                </a:r>
                <a:endParaRPr lang="uk-UA" sz="900" b="0">
                  <a:effectLst/>
                </a:endParaRPr>
              </a:p>
            </c:rich>
          </c:tx>
          <c:layout>
            <c:manualLayout>
              <c:xMode val="edge"/>
              <c:yMode val="edge"/>
              <c:x val="1.6708277318993661E-3"/>
              <c:y val="0.39888932711675801"/>
            </c:manualLayout>
          </c:layout>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title>
        <c:numFmt formatCode="#\ ##0.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uk-UA"/>
          </a:p>
        </c:txPr>
        <c:crossAx val="1632652415"/>
        <c:crosses val="autoZero"/>
        <c:crossBetween val="between"/>
      </c:valAx>
      <c:spPr>
        <a:noFill/>
        <a:ln>
          <a:noFill/>
        </a:ln>
        <a:effectLst/>
      </c:spPr>
    </c:plotArea>
    <c:legend>
      <c:legendPos val="r"/>
      <c:layout>
        <c:manualLayout>
          <c:xMode val="edge"/>
          <c:yMode val="edge"/>
          <c:x val="0.92046427885538695"/>
          <c:y val="0.28485692994191003"/>
          <c:w val="7.3438160169003258E-2"/>
          <c:h val="0.35219246968010925"/>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1" i="0" u="none" strike="noStrike" kern="1200" spc="0" baseline="0">
                <a:solidFill>
                  <a:schemeClr val="tx1">
                    <a:lumMod val="65000"/>
                    <a:lumOff val="35000"/>
                  </a:schemeClr>
                </a:solidFill>
                <a:latin typeface="+mn-lt"/>
                <a:ea typeface="+mn-ea"/>
                <a:cs typeface="+mn-cs"/>
              </a:defRPr>
            </a:pPr>
            <a:r>
              <a:rPr lang="uk-UA" sz="1000" b="1"/>
              <a:t>Надходження частини чистого прибутку та дивідендів на державну частку до загального фонду державного бюджету у 2019 - 2022 роках</a:t>
            </a:r>
          </a:p>
        </c:rich>
      </c:tx>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mn-lt"/>
              <a:ea typeface="+mn-ea"/>
              <a:cs typeface="+mn-cs"/>
            </a:defRPr>
          </a:pPr>
          <a:endParaRPr lang="uk-UA"/>
        </a:p>
      </c:txPr>
    </c:title>
    <c:autoTitleDeleted val="0"/>
    <c:view3D>
      <c:rotX val="0"/>
      <c:rotY val="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7.7701998290509736E-2"/>
          <c:y val="0.26062206572769953"/>
          <c:w val="0.91818615960422711"/>
          <c:h val="0.47635647816750171"/>
        </c:manualLayout>
      </c:layout>
      <c:bar3DChart>
        <c:barDir val="col"/>
        <c:grouping val="clustered"/>
        <c:varyColors val="0"/>
        <c:ser>
          <c:idx val="0"/>
          <c:order val="0"/>
          <c:tx>
            <c:strRef>
              <c:f>'[Графіки_.xlsx]ЧЧП Дивіденди'!$A$28</c:f>
              <c:strCache>
                <c:ptCount val="1"/>
                <c:pt idx="0">
                  <c:v>ПЛАН</c:v>
                </c:pt>
              </c:strCache>
            </c:strRef>
          </c:tx>
          <c:spPr>
            <a:solidFill>
              <a:schemeClr val="bg1">
                <a:lumMod val="65000"/>
              </a:schemeClr>
            </a:solidFill>
            <a:ln>
              <a:noFill/>
            </a:ln>
            <a:effectLst/>
            <a:sp3d/>
          </c:spPr>
          <c:invertIfNegative val="0"/>
          <c:dLbls>
            <c:dLbl>
              <c:idx val="0"/>
              <c:layout>
                <c:manualLayout>
                  <c:x val="-9.8101429755491094E-4"/>
                  <c:y val="2.250286495878156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3E23-4293-A094-C1CB370D3583}"/>
                </c:ext>
              </c:extLst>
            </c:dLbl>
            <c:dLbl>
              <c:idx val="1"/>
              <c:layout>
                <c:manualLayout>
                  <c:x val="-1.5027649709904683E-3"/>
                  <c:y val="2.298852168126871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E23-4293-A094-C1CB370D3583}"/>
                </c:ext>
              </c:extLst>
            </c:dLbl>
            <c:dLbl>
              <c:idx val="2"/>
              <c:layout>
                <c:manualLayout>
                  <c:x val="-2.295508702859511E-4"/>
                  <c:y val="6.750674651583991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3E23-4293-A094-C1CB370D3583}"/>
                </c:ext>
              </c:extLst>
            </c:dLbl>
            <c:dLbl>
              <c:idx val="3"/>
              <c:layout>
                <c:manualLayout>
                  <c:x val="0"/>
                  <c:y val="2.347417840375586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3E23-4293-A094-C1CB370D3583}"/>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'[Графіки_.xlsx]ЧЧП Дивіденди'!$B$27:$E$27</c:f>
              <c:numCache>
                <c:formatCode>General</c:formatCode>
                <c:ptCount val="4"/>
                <c:pt idx="0">
                  <c:v>2019</c:v>
                </c:pt>
                <c:pt idx="1">
                  <c:v>2020</c:v>
                </c:pt>
                <c:pt idx="2">
                  <c:v>2021</c:v>
                </c:pt>
                <c:pt idx="3">
                  <c:v>2022</c:v>
                </c:pt>
              </c:numCache>
            </c:numRef>
          </c:cat>
          <c:val>
            <c:numRef>
              <c:f>'[Графіки_.xlsx]ЧЧП Дивіденди'!$B$28:$E$28</c:f>
              <c:numCache>
                <c:formatCode>#\ ##0.0</c:formatCode>
                <c:ptCount val="4"/>
                <c:pt idx="0">
                  <c:v>44.6</c:v>
                </c:pt>
                <c:pt idx="1">
                  <c:v>68.346800000000002</c:v>
                </c:pt>
                <c:pt idx="2">
                  <c:v>28.8118324</c:v>
                </c:pt>
                <c:pt idx="3">
                  <c:v>48.6</c:v>
                </c:pt>
              </c:numCache>
            </c:numRef>
          </c:val>
          <c:extLst>
            <c:ext xmlns:c16="http://schemas.microsoft.com/office/drawing/2014/chart" uri="{C3380CC4-5D6E-409C-BE32-E72D297353CC}">
              <c16:uniqueId val="{00000003-3E23-4293-A094-C1CB370D3583}"/>
            </c:ext>
          </c:extLst>
        </c:ser>
        <c:ser>
          <c:idx val="1"/>
          <c:order val="1"/>
          <c:tx>
            <c:strRef>
              <c:f>'[Графіки_.xlsx]ЧЧП Дивіденди'!$A$29</c:f>
              <c:strCache>
                <c:ptCount val="1"/>
                <c:pt idx="0">
                  <c:v>ФАКТ</c:v>
                </c:pt>
              </c:strCache>
            </c:strRef>
          </c:tx>
          <c:spPr>
            <a:solidFill>
              <a:srgbClr val="FFC000"/>
            </a:solidFill>
            <a:ln>
              <a:noFill/>
            </a:ln>
            <a:effectLst/>
            <a:sp3d/>
          </c:spPr>
          <c:invertIfNegative val="0"/>
          <c:dLbls>
            <c:dLbl>
              <c:idx val="0"/>
              <c:layout>
                <c:manualLayout>
                  <c:x val="-3.0369353501865275E-3"/>
                  <c:y val="1.663432035784259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3E23-4293-A094-C1CB370D3583}"/>
                </c:ext>
              </c:extLst>
            </c:dLbl>
            <c:dLbl>
              <c:idx val="1"/>
              <c:layout>
                <c:manualLayout>
                  <c:x val="-2.2542283982594281E-3"/>
                  <c:y val="1.9370355994233063E-2"/>
                </c:manualLayout>
              </c:layout>
              <c:tx>
                <c:rich>
                  <a:bodyPr/>
                  <a:lstStyle/>
                  <a:p>
                    <a:fld id="{94885AC7-9A3B-4462-B1FA-F40BB1B9A6D3}" type="VALUE">
                      <a:rPr lang="en-US"/>
                      <a:pPr/>
                      <a:t>[ЗНАЧЕННЯ]</a:t>
                    </a:fld>
                    <a:endParaRPr lang="uk-UA"/>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5-3E23-4293-A094-C1CB370D3583}"/>
                </c:ext>
              </c:extLst>
            </c:dLbl>
            <c:dLbl>
              <c:idx val="2"/>
              <c:layout>
                <c:manualLayout>
                  <c:x val="-2.28547192291753E-3"/>
                  <c:y val="9.0010535654874123E-3"/>
                </c:manualLayout>
              </c:layout>
              <c:tx>
                <c:rich>
                  <a:bodyPr/>
                  <a:lstStyle/>
                  <a:p>
                    <a:fld id="{50FCDECB-81D7-4946-A568-E472AC8297CA}" type="VALUE">
                      <a:rPr lang="en-US"/>
                      <a:pPr/>
                      <a:t>[ЗНАЧЕННЯ]</a:t>
                    </a:fld>
                    <a:r>
                      <a:rPr lang="en-US"/>
                      <a:t>*</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6-3E23-4293-A094-C1CB370D3583}"/>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'[Графіки_.xlsx]ЧЧП Дивіденди'!$B$27:$E$27</c:f>
              <c:numCache>
                <c:formatCode>General</c:formatCode>
                <c:ptCount val="4"/>
                <c:pt idx="0">
                  <c:v>2019</c:v>
                </c:pt>
                <c:pt idx="1">
                  <c:v>2020</c:v>
                </c:pt>
                <c:pt idx="2">
                  <c:v>2021</c:v>
                </c:pt>
                <c:pt idx="3">
                  <c:v>2022</c:v>
                </c:pt>
              </c:numCache>
            </c:numRef>
          </c:cat>
          <c:val>
            <c:numRef>
              <c:f>'[Графіки_.xlsx]ЧЧП Дивіденди'!$B$29:$E$29</c:f>
              <c:numCache>
                <c:formatCode>#\ ##0.0</c:formatCode>
                <c:ptCount val="4"/>
                <c:pt idx="0">
                  <c:v>46.3</c:v>
                </c:pt>
                <c:pt idx="1">
                  <c:v>66.878</c:v>
                </c:pt>
                <c:pt idx="2">
                  <c:v>25.7853362</c:v>
                </c:pt>
              </c:numCache>
            </c:numRef>
          </c:val>
          <c:extLst>
            <c:ext xmlns:c16="http://schemas.microsoft.com/office/drawing/2014/chart" uri="{C3380CC4-5D6E-409C-BE32-E72D297353CC}">
              <c16:uniqueId val="{00000007-3E23-4293-A094-C1CB370D3583}"/>
            </c:ext>
          </c:extLst>
        </c:ser>
        <c:dLbls>
          <c:showLegendKey val="0"/>
          <c:showVal val="0"/>
          <c:showCatName val="0"/>
          <c:showSerName val="0"/>
          <c:showPercent val="0"/>
          <c:showBubbleSize val="0"/>
        </c:dLbls>
        <c:gapWidth val="150"/>
        <c:shape val="box"/>
        <c:axId val="1832908784"/>
        <c:axId val="1832902544"/>
        <c:axId val="0"/>
      </c:bar3DChart>
      <c:catAx>
        <c:axId val="183290878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1832902544"/>
        <c:crosses val="autoZero"/>
        <c:auto val="1"/>
        <c:lblAlgn val="ctr"/>
        <c:lblOffset val="100"/>
        <c:noMultiLvlLbl val="0"/>
      </c:catAx>
      <c:valAx>
        <c:axId val="183290254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uk-UA" sz="900" b="0" i="0" baseline="0">
                    <a:effectLst/>
                  </a:rPr>
                  <a:t>млрд гривень</a:t>
                </a:r>
                <a:endParaRPr lang="uk-UA" sz="900">
                  <a:effectLst/>
                </a:endParaRPr>
              </a:p>
            </c:rich>
          </c:tx>
          <c:layout>
            <c:manualLayout>
              <c:xMode val="edge"/>
              <c:yMode val="edge"/>
              <c:x val="9.0577082469954426E-3"/>
              <c:y val="0.3218282133747366"/>
            </c:manualLayout>
          </c:layout>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title>
        <c:numFmt formatCode="#\ ##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1832908784"/>
        <c:crosses val="autoZero"/>
        <c:crossBetween val="between"/>
      </c:valAx>
      <c:spPr>
        <a:noFill/>
        <a:ln>
          <a:noFill/>
        </a:ln>
        <a:effectLst/>
      </c:spPr>
    </c:plotArea>
    <c:legend>
      <c:legendPos val="b"/>
      <c:layout>
        <c:manualLayout>
          <c:xMode val="edge"/>
          <c:yMode val="edge"/>
          <c:x val="0.43152908723580607"/>
          <c:y val="0.89044998336475545"/>
          <c:w val="0.13694182552838791"/>
          <c:h val="9.1944382832427632E-2"/>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mn-lt"/>
                <a:ea typeface="+mn-ea"/>
                <a:cs typeface="+mn-cs"/>
              </a:defRPr>
            </a:pPr>
            <a:r>
              <a:rPr lang="uk-UA" sz="1000" b="1" i="0" baseline="0">
                <a:effectLst/>
              </a:rPr>
              <a:t>Динаміка сум податкового боргу та сум переплат податків, зборів, інших платежів до державного бюджету суб’єктами господарювання державного сектору економіки</a:t>
            </a:r>
            <a:endParaRPr lang="uk-UA" sz="1000">
              <a:effectLst/>
            </a:endParaRPr>
          </a:p>
        </c:rich>
      </c:tx>
      <c:overlay val="0"/>
      <c:spPr>
        <a:noFill/>
        <a:ln>
          <a:noFill/>
        </a:ln>
        <a:effectLst/>
      </c:spPr>
      <c:txPr>
        <a:bodyPr rot="0" spcFirstLastPara="1" vertOverflow="ellipsis" vert="horz" wrap="square" anchor="ctr" anchorCtr="1"/>
        <a:lstStyle/>
        <a:p>
          <a:pPr>
            <a:defRPr sz="1000" b="0" i="0" u="none" strike="noStrike" kern="1200" spc="0" baseline="0">
              <a:solidFill>
                <a:schemeClr val="tx1">
                  <a:lumMod val="65000"/>
                  <a:lumOff val="35000"/>
                </a:schemeClr>
              </a:solidFill>
              <a:latin typeface="+mn-lt"/>
              <a:ea typeface="+mn-ea"/>
              <a:cs typeface="+mn-cs"/>
            </a:defRPr>
          </a:pPr>
          <a:endParaRPr lang="uk-UA"/>
        </a:p>
      </c:txPr>
    </c:title>
    <c:autoTitleDeleted val="0"/>
    <c:plotArea>
      <c:layout>
        <c:manualLayout>
          <c:layoutTarget val="inner"/>
          <c:xMode val="edge"/>
          <c:yMode val="edge"/>
          <c:x val="0.12585142758143314"/>
          <c:y val="0.37650572919691677"/>
          <c:w val="0.6253556621608507"/>
          <c:h val="0.44324375153843387"/>
        </c:manualLayout>
      </c:layout>
      <c:lineChart>
        <c:grouping val="standard"/>
        <c:varyColors val="0"/>
        <c:ser>
          <c:idx val="0"/>
          <c:order val="0"/>
          <c:tx>
            <c:strRef>
              <c:f>'под борг'!$B$23</c:f>
              <c:strCache>
                <c:ptCount val="1"/>
                <c:pt idx="0">
                  <c:v>податковий борг</c:v>
                </c:pt>
              </c:strCache>
            </c:strRef>
          </c:tx>
          <c:spPr>
            <a:ln w="28575" cap="rnd">
              <a:solidFill>
                <a:schemeClr val="bg1">
                  <a:lumMod val="65000"/>
                </a:schemeClr>
              </a:solidFill>
              <a:round/>
            </a:ln>
            <a:effectLst/>
          </c:spPr>
          <c:marker>
            <c:symbol val="none"/>
          </c:marker>
          <c:dLbls>
            <c:spPr>
              <a:solidFill>
                <a:srgbClr val="FFC000"/>
              </a:solid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mn-lt"/>
                    <a:ea typeface="+mn-ea"/>
                    <a:cs typeface="+mn-cs"/>
                  </a:defRPr>
                </a:pPr>
                <a:endParaRPr lang="uk-UA"/>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'под борг'!$A$24:$A$28</c:f>
              <c:numCache>
                <c:formatCode>m/d/yyyy</c:formatCode>
                <c:ptCount val="5"/>
                <c:pt idx="0">
                  <c:v>43831</c:v>
                </c:pt>
                <c:pt idx="1">
                  <c:v>44197</c:v>
                </c:pt>
              </c:numCache>
            </c:numRef>
          </c:cat>
          <c:val>
            <c:numRef>
              <c:f>'под борг'!$B$24:$B$28</c:f>
              <c:numCache>
                <c:formatCode>0.0</c:formatCode>
                <c:ptCount val="5"/>
                <c:pt idx="0">
                  <c:v>14489431.1</c:v>
                </c:pt>
                <c:pt idx="1">
                  <c:v>15585545.5</c:v>
                </c:pt>
              </c:numCache>
            </c:numRef>
          </c:val>
          <c:smooth val="0"/>
          <c:extLst>
            <c:ext xmlns:c16="http://schemas.microsoft.com/office/drawing/2014/chart" uri="{C3380CC4-5D6E-409C-BE32-E72D297353CC}">
              <c16:uniqueId val="{00000000-8785-4CEE-9596-E47E6E1F3CDC}"/>
            </c:ext>
          </c:extLst>
        </c:ser>
        <c:ser>
          <c:idx val="1"/>
          <c:order val="1"/>
          <c:tx>
            <c:strRef>
              <c:f>'под борг'!$C$23</c:f>
              <c:strCache>
                <c:ptCount val="1"/>
                <c:pt idx="0">
                  <c:v>переплата податків, зборів та інших платежів</c:v>
                </c:pt>
              </c:strCache>
            </c:strRef>
          </c:tx>
          <c:spPr>
            <a:ln w="28575" cap="rnd">
              <a:solidFill>
                <a:srgbClr val="FFC000"/>
              </a:solidFill>
              <a:round/>
            </a:ln>
            <a:effectLst/>
          </c:spPr>
          <c:marker>
            <c:symbol val="none"/>
          </c:marker>
          <c:dLbls>
            <c:spPr>
              <a:solidFill>
                <a:schemeClr val="bg1">
                  <a:lumMod val="65000"/>
                </a:schemeClr>
              </a:solid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mn-lt"/>
                    <a:ea typeface="+mn-ea"/>
                    <a:cs typeface="+mn-cs"/>
                  </a:defRPr>
                </a:pPr>
                <a:endParaRPr lang="uk-UA"/>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'под борг'!$A$24:$A$28</c:f>
              <c:numCache>
                <c:formatCode>m/d/yyyy</c:formatCode>
                <c:ptCount val="5"/>
                <c:pt idx="0">
                  <c:v>43831</c:v>
                </c:pt>
                <c:pt idx="1">
                  <c:v>44197</c:v>
                </c:pt>
              </c:numCache>
            </c:numRef>
          </c:cat>
          <c:val>
            <c:numRef>
              <c:f>'под борг'!$C$24:$C$28</c:f>
              <c:numCache>
                <c:formatCode>0.0</c:formatCode>
                <c:ptCount val="5"/>
                <c:pt idx="0">
                  <c:v>2662688.6</c:v>
                </c:pt>
                <c:pt idx="1">
                  <c:v>4912053.5</c:v>
                </c:pt>
              </c:numCache>
            </c:numRef>
          </c:val>
          <c:smooth val="0"/>
          <c:extLst>
            <c:ext xmlns:c16="http://schemas.microsoft.com/office/drawing/2014/chart" uri="{C3380CC4-5D6E-409C-BE32-E72D297353CC}">
              <c16:uniqueId val="{00000001-8785-4CEE-9596-E47E6E1F3CDC}"/>
            </c:ext>
          </c:extLst>
        </c:ser>
        <c:dLbls>
          <c:dLblPos val="ctr"/>
          <c:showLegendKey val="0"/>
          <c:showVal val="1"/>
          <c:showCatName val="0"/>
          <c:showSerName val="0"/>
          <c:showPercent val="0"/>
          <c:showBubbleSize val="0"/>
        </c:dLbls>
        <c:smooth val="0"/>
        <c:axId val="1918618624"/>
        <c:axId val="1918619040"/>
      </c:lineChart>
      <c:dateAx>
        <c:axId val="1918618624"/>
        <c:scaling>
          <c:orientation val="minMax"/>
        </c:scaling>
        <c:delete val="0"/>
        <c:axPos val="b"/>
        <c:numFmt formatCode="m/d/yyyy"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1918619040"/>
        <c:crosses val="autoZero"/>
        <c:auto val="1"/>
        <c:lblOffset val="100"/>
        <c:baseTimeUnit val="years"/>
      </c:dateAx>
      <c:valAx>
        <c:axId val="191861904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uk-UA" sz="900" b="0" i="0" baseline="0">
                    <a:effectLst/>
                  </a:rPr>
                  <a:t>млрд гривень</a:t>
                </a:r>
                <a:endParaRPr lang="uk-UA" sz="900" b="0">
                  <a:effectLst/>
                </a:endParaRPr>
              </a:p>
            </c:rich>
          </c:tx>
          <c:layout>
            <c:manualLayout>
              <c:xMode val="edge"/>
              <c:yMode val="edge"/>
              <c:x val="3.6701559804260493E-2"/>
              <c:y val="0.41791017381568563"/>
            </c:manualLayout>
          </c:layout>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1918618624"/>
        <c:crosses val="autoZero"/>
        <c:crossBetween val="between"/>
        <c:dispUnits>
          <c:builtInUnit val="millions"/>
        </c:dispUnits>
      </c:valAx>
      <c:spPr>
        <a:noFill/>
        <a:ln>
          <a:noFill/>
        </a:ln>
        <a:effectLst/>
      </c:spPr>
    </c:plotArea>
    <c:legend>
      <c:legendPos val="r"/>
      <c:layout>
        <c:manualLayout>
          <c:xMode val="edge"/>
          <c:yMode val="edge"/>
          <c:x val="0.75731893653865745"/>
          <c:y val="0.41109459219695432"/>
          <c:w val="0.2304573698685953"/>
          <c:h val="0.47917087287166032"/>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mn-lt"/>
                <a:ea typeface="+mn-ea"/>
                <a:cs typeface="+mn-cs"/>
              </a:defRPr>
            </a:pPr>
            <a:r>
              <a:rPr lang="uk-UA" sz="1000" b="1"/>
              <a:t>Динаміка заборгованості суб’єктів господарювання,</a:t>
            </a:r>
            <a:r>
              <a:rPr lang="uk-UA" sz="1000" b="1" i="0" u="none" strike="noStrike" baseline="0">
                <a:effectLst/>
              </a:rPr>
              <a:t> що включені до Переліку,</a:t>
            </a:r>
            <a:r>
              <a:rPr lang="uk-UA" sz="1000" b="1"/>
              <a:t> за запозиченнями, отриманими під державні гарантії у період з 01.01.2020 по 01.01.2021, </a:t>
            </a:r>
            <a:r>
              <a:rPr lang="uk-UA" sz="1000" b="1" i="0" u="none" strike="noStrike" baseline="0">
                <a:effectLst/>
              </a:rPr>
              <a:t>млрд гривень</a:t>
            </a:r>
            <a:endParaRPr lang="uk-UA" sz="1000" b="1"/>
          </a:p>
        </c:rich>
      </c:tx>
      <c:layout>
        <c:manualLayout>
          <c:xMode val="edge"/>
          <c:yMode val="edge"/>
          <c:x val="0.12164025382903086"/>
          <c:y val="3.2243535480985775E-3"/>
        </c:manualLayout>
      </c:layout>
      <c:overlay val="0"/>
      <c:spPr>
        <a:noFill/>
        <a:ln>
          <a:noFill/>
        </a:ln>
        <a:effectLst/>
      </c:spPr>
      <c:txPr>
        <a:bodyPr rot="0" spcFirstLastPara="1" vertOverflow="ellipsis" vert="horz" wrap="square" anchor="ctr" anchorCtr="1"/>
        <a:lstStyle/>
        <a:p>
          <a:pPr>
            <a:defRPr sz="1000" b="0" i="0" u="none" strike="noStrike" kern="1200" spc="0" baseline="0">
              <a:solidFill>
                <a:schemeClr val="tx1">
                  <a:lumMod val="65000"/>
                  <a:lumOff val="35000"/>
                </a:schemeClr>
              </a:solidFill>
              <a:latin typeface="+mn-lt"/>
              <a:ea typeface="+mn-ea"/>
              <a:cs typeface="+mn-cs"/>
            </a:defRPr>
          </a:pPr>
          <a:endParaRPr lang="uk-UA"/>
        </a:p>
      </c:txPr>
    </c:title>
    <c:autoTitleDeleted val="0"/>
    <c:plotArea>
      <c:layout>
        <c:manualLayout>
          <c:layoutTarget val="inner"/>
          <c:xMode val="edge"/>
          <c:yMode val="edge"/>
          <c:x val="0.24151716003853949"/>
          <c:y val="0.16105457055963243"/>
          <c:w val="0.71843018040466455"/>
          <c:h val="0.68396033829104697"/>
        </c:manualLayout>
      </c:layout>
      <c:barChart>
        <c:barDir val="bar"/>
        <c:grouping val="clustered"/>
        <c:varyColors val="0"/>
        <c:ser>
          <c:idx val="0"/>
          <c:order val="0"/>
          <c:tx>
            <c:strRef>
              <c:f>зобовязання!$C$3</c:f>
              <c:strCache>
                <c:ptCount val="1"/>
                <c:pt idx="0">
                  <c:v>01.01.2021</c:v>
                </c:pt>
              </c:strCache>
            </c:strRef>
          </c:tx>
          <c:spPr>
            <a:solidFill>
              <a:srgbClr val="FFC000"/>
            </a:solidFill>
            <a:ln>
              <a:noFill/>
            </a:ln>
            <a:effectLst/>
          </c:spPr>
          <c:invertIfNegative val="0"/>
          <c:dLbls>
            <c:dLbl>
              <c:idx val="2"/>
              <c:layout>
                <c:manualLayout>
                  <c:x val="-2.0181634712411706E-3"/>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C8F-4EFB-A2E7-FA4A160972D0}"/>
                </c:ext>
              </c:extLst>
            </c:dLbl>
            <c:dLbl>
              <c:idx val="5"/>
              <c:layout>
                <c:manualLayout>
                  <c:x val="-8.0726538849646458E-3"/>
                  <c:y val="4.0567951318458417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C8F-4EFB-A2E7-FA4A160972D0}"/>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зобовязання!$B$4:$B$11</c:f>
              <c:strCache>
                <c:ptCount val="8"/>
                <c:pt idx="0">
                  <c:v>АТ "ДПЗКУ"</c:v>
                </c:pt>
                <c:pt idx="1">
                  <c:v>ДП "НАЕК "Енергоатом"</c:v>
                </c:pt>
                <c:pt idx="2">
                  <c:v>НЕК "Укренерго"</c:v>
                </c:pt>
                <c:pt idx="3">
                  <c:v>ПрАТ "Укргідроенерго"</c:v>
                </c:pt>
                <c:pt idx="4">
                  <c:v>ДП "МА "Бориспіль"</c:v>
                </c:pt>
                <c:pt idx="5">
                  <c:v>АТ "Українська залізниця"</c:v>
                </c:pt>
                <c:pt idx="6">
                  <c:v>НАК "Нафтогаз України"</c:v>
                </c:pt>
                <c:pt idx="7">
                  <c:v>АТ "Укртрансгаз"</c:v>
                </c:pt>
              </c:strCache>
            </c:strRef>
          </c:cat>
          <c:val>
            <c:numRef>
              <c:f>зобовязання!$C$4:$C$11</c:f>
              <c:numCache>
                <c:formatCode>#\ ##0.0</c:formatCode>
                <c:ptCount val="8"/>
                <c:pt idx="0">
                  <c:v>29.688330000000001</c:v>
                </c:pt>
                <c:pt idx="1">
                  <c:v>20.061823011014557</c:v>
                </c:pt>
                <c:pt idx="2">
                  <c:v>14.598220222136742</c:v>
                </c:pt>
                <c:pt idx="3">
                  <c:v>6.2331542642654663</c:v>
                </c:pt>
                <c:pt idx="4">
                  <c:v>3.70606026408</c:v>
                </c:pt>
                <c:pt idx="5">
                  <c:v>2.088731329379232</c:v>
                </c:pt>
                <c:pt idx="6">
                  <c:v>1.9717565300000002</c:v>
                </c:pt>
                <c:pt idx="7">
                  <c:v>0.807571623002452</c:v>
                </c:pt>
              </c:numCache>
            </c:numRef>
          </c:val>
          <c:extLst>
            <c:ext xmlns:c16="http://schemas.microsoft.com/office/drawing/2014/chart" uri="{C3380CC4-5D6E-409C-BE32-E72D297353CC}">
              <c16:uniqueId val="{00000002-CC8F-4EFB-A2E7-FA4A160972D0}"/>
            </c:ext>
          </c:extLst>
        </c:ser>
        <c:ser>
          <c:idx val="1"/>
          <c:order val="1"/>
          <c:tx>
            <c:strRef>
              <c:f>зобовязання!$D$3</c:f>
              <c:strCache>
                <c:ptCount val="1"/>
                <c:pt idx="0">
                  <c:v>01.01.2020</c:v>
                </c:pt>
              </c:strCache>
            </c:strRef>
          </c:tx>
          <c:spPr>
            <a:solidFill>
              <a:schemeClr val="bg1">
                <a:lumMod val="65000"/>
              </a:schemeClr>
            </a:solidFill>
            <a:ln>
              <a:noFill/>
            </a:ln>
            <a:effectLst/>
          </c:spPr>
          <c:invertIfNegative val="0"/>
          <c:dLbls>
            <c:dLbl>
              <c:idx val="0"/>
              <c:layout>
                <c:manualLayout>
                  <c:x val="-1.2108980827447172E-2"/>
                  <c:y val="-4.0567951318458417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C8F-4EFB-A2E7-FA4A160972D0}"/>
                </c:ext>
              </c:extLst>
            </c:dLbl>
            <c:dLbl>
              <c:idx val="1"/>
              <c:layout>
                <c:manualLayout>
                  <c:x val="-4.0363269424823411E-3"/>
                  <c:y val="-8.113590263691683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C8F-4EFB-A2E7-FA4A160972D0}"/>
                </c:ext>
              </c:extLst>
            </c:dLbl>
            <c:dLbl>
              <c:idx val="2"/>
              <c:layout>
                <c:manualLayout>
                  <c:x val="-4.0363269424823411E-3"/>
                  <c:y val="-8.113590263691683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CC8F-4EFB-A2E7-FA4A160972D0}"/>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зобовязання!$B$4:$B$11</c:f>
              <c:strCache>
                <c:ptCount val="8"/>
                <c:pt idx="0">
                  <c:v>АТ "ДПЗКУ"</c:v>
                </c:pt>
                <c:pt idx="1">
                  <c:v>ДП "НАЕК "Енергоатом"</c:v>
                </c:pt>
                <c:pt idx="2">
                  <c:v>НЕК "Укренерго"</c:v>
                </c:pt>
                <c:pt idx="3">
                  <c:v>ПрАТ "Укргідроенерго"</c:v>
                </c:pt>
                <c:pt idx="4">
                  <c:v>ДП "МА "Бориспіль"</c:v>
                </c:pt>
                <c:pt idx="5">
                  <c:v>АТ "Українська залізниця"</c:v>
                </c:pt>
                <c:pt idx="6">
                  <c:v>НАК "Нафтогаз України"</c:v>
                </c:pt>
                <c:pt idx="7">
                  <c:v>АТ "Укртрансгаз"</c:v>
                </c:pt>
              </c:strCache>
            </c:strRef>
          </c:cat>
          <c:val>
            <c:numRef>
              <c:f>зобовязання!$D$4:$D$11</c:f>
              <c:numCache>
                <c:formatCode>#\ ##0.0</c:formatCode>
                <c:ptCount val="8"/>
                <c:pt idx="0">
                  <c:v>28.423439999999999</c:v>
                </c:pt>
                <c:pt idx="1">
                  <c:v>12.620380664220884</c:v>
                </c:pt>
                <c:pt idx="2">
                  <c:v>8.6834223018249439</c:v>
                </c:pt>
                <c:pt idx="3">
                  <c:v>4.1982864366936541</c:v>
                </c:pt>
                <c:pt idx="4">
                  <c:v>3.1217991714800002</c:v>
                </c:pt>
                <c:pt idx="5">
                  <c:v>2.4796114687450079</c:v>
                </c:pt>
                <c:pt idx="6">
                  <c:v>1.97176</c:v>
                </c:pt>
                <c:pt idx="7">
                  <c:v>0.71897552225971995</c:v>
                </c:pt>
              </c:numCache>
            </c:numRef>
          </c:val>
          <c:extLst>
            <c:ext xmlns:c16="http://schemas.microsoft.com/office/drawing/2014/chart" uri="{C3380CC4-5D6E-409C-BE32-E72D297353CC}">
              <c16:uniqueId val="{00000006-CC8F-4EFB-A2E7-FA4A160972D0}"/>
            </c:ext>
          </c:extLst>
        </c:ser>
        <c:dLbls>
          <c:showLegendKey val="0"/>
          <c:showVal val="0"/>
          <c:showCatName val="0"/>
          <c:showSerName val="0"/>
          <c:showPercent val="0"/>
          <c:showBubbleSize val="0"/>
        </c:dLbls>
        <c:gapWidth val="150"/>
        <c:axId val="1600904624"/>
        <c:axId val="1600896304"/>
        <c:extLst/>
      </c:barChart>
      <c:catAx>
        <c:axId val="160090462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1600896304"/>
        <c:crosses val="autoZero"/>
        <c:auto val="1"/>
        <c:lblAlgn val="ctr"/>
        <c:lblOffset val="100"/>
        <c:noMultiLvlLbl val="0"/>
      </c:catAx>
      <c:valAx>
        <c:axId val="1600896304"/>
        <c:scaling>
          <c:orientation val="minMax"/>
          <c:max val="30"/>
        </c:scaling>
        <c:delete val="0"/>
        <c:axPos val="b"/>
        <c:majorGridlines>
          <c:spPr>
            <a:ln w="9525" cap="flat" cmpd="sng" algn="ctr">
              <a:solidFill>
                <a:schemeClr val="tx1">
                  <a:lumMod val="15000"/>
                  <a:lumOff val="85000"/>
                </a:schemeClr>
              </a:solidFill>
              <a:round/>
            </a:ln>
            <a:effectLst/>
          </c:spPr>
        </c:majorGridlines>
        <c:numFmt formatCode="#\ ##0.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uk-UA"/>
          </a:p>
        </c:txPr>
        <c:crossAx val="1600904624"/>
        <c:crosses val="autoZero"/>
        <c:crossBetween val="between"/>
      </c:valAx>
      <c:spPr>
        <a:noFill/>
        <a:ln>
          <a:noFill/>
        </a:ln>
        <a:effectLst/>
      </c:spPr>
    </c:plotArea>
    <c:legend>
      <c:legendPos val="b"/>
      <c:layout>
        <c:manualLayout>
          <c:xMode val="edge"/>
          <c:yMode val="edge"/>
          <c:x val="0.37112262865875945"/>
          <c:y val="0.91733771373816364"/>
          <c:w val="0.25775457656400547"/>
          <c:h val="6.6333011439607778E-2"/>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uk-UA"/>
        </a:p>
      </c:txPr>
    </c:legend>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mn-lt"/>
                <a:ea typeface="+mn-ea"/>
                <a:cs typeface="+mn-cs"/>
              </a:defRPr>
            </a:pPr>
            <a:r>
              <a:rPr lang="uk-UA" sz="1000" b="1" i="0" baseline="0">
                <a:effectLst/>
              </a:rPr>
              <a:t>Динаміка платежів з погашення та обслуговування гарантованого державою боргу суб’єктами господарювання, що включені до Переліку, у 20</a:t>
            </a:r>
            <a:r>
              <a:rPr lang="en-US" sz="1000" b="1" i="0" baseline="0">
                <a:effectLst/>
              </a:rPr>
              <a:t>2</a:t>
            </a:r>
            <a:r>
              <a:rPr lang="uk-UA" sz="1000" b="1" i="0" baseline="0">
                <a:effectLst/>
              </a:rPr>
              <a:t>1-2024 роках</a:t>
            </a:r>
            <a:endParaRPr lang="uk-UA" sz="1000">
              <a:effectLst/>
            </a:endParaRPr>
          </a:p>
        </c:rich>
      </c:tx>
      <c:layout>
        <c:manualLayout>
          <c:xMode val="edge"/>
          <c:yMode val="edge"/>
          <c:x val="9.9566575950005037E-2"/>
          <c:y val="6.2441461130190445E-3"/>
        </c:manualLayout>
      </c:layout>
      <c:overlay val="0"/>
      <c:spPr>
        <a:noFill/>
        <a:ln>
          <a:noFill/>
        </a:ln>
        <a:effectLst/>
      </c:spPr>
      <c:txPr>
        <a:bodyPr rot="0" spcFirstLastPara="1" vertOverflow="ellipsis" vert="horz" wrap="square" anchor="ctr" anchorCtr="1"/>
        <a:lstStyle/>
        <a:p>
          <a:pPr>
            <a:defRPr sz="1000" b="0" i="0" u="none" strike="noStrike" kern="1200" spc="0" baseline="0">
              <a:solidFill>
                <a:schemeClr val="tx1">
                  <a:lumMod val="65000"/>
                  <a:lumOff val="35000"/>
                </a:schemeClr>
              </a:solidFill>
              <a:latin typeface="+mn-lt"/>
              <a:ea typeface="+mn-ea"/>
              <a:cs typeface="+mn-cs"/>
            </a:defRPr>
          </a:pPr>
          <a:endParaRPr lang="uk-UA"/>
        </a:p>
      </c:txPr>
    </c:title>
    <c:autoTitleDeleted val="0"/>
    <c:plotArea>
      <c:layout>
        <c:manualLayout>
          <c:layoutTarget val="inner"/>
          <c:xMode val="edge"/>
          <c:yMode val="edge"/>
          <c:x val="8.0141101288170175E-2"/>
          <c:y val="0.14567476978091212"/>
          <c:w val="0.70806933832394026"/>
          <c:h val="0.74874706002658764"/>
        </c:manualLayout>
      </c:layout>
      <c:barChart>
        <c:barDir val="col"/>
        <c:grouping val="clustered"/>
        <c:varyColors val="0"/>
        <c:ser>
          <c:idx val="0"/>
          <c:order val="0"/>
          <c:tx>
            <c:strRef>
              <c:f>зобовязання!$B$27</c:f>
              <c:strCache>
                <c:ptCount val="1"/>
                <c:pt idx="0">
                  <c:v>НАК "Нафтогаз України"</c:v>
                </c:pt>
              </c:strCache>
            </c:strRef>
          </c:tx>
          <c:spPr>
            <a:solidFill>
              <a:schemeClr val="accent1"/>
            </a:solidFill>
            <a:ln>
              <a:noFill/>
            </a:ln>
            <a:effectLst/>
          </c:spPr>
          <c:invertIfNegative val="0"/>
          <c:dLbls>
            <c:dLbl>
              <c:idx val="0"/>
              <c:layout>
                <c:manualLayout>
                  <c:x val="0"/>
                  <c:y val="-3.122073056509636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DF5-45D0-AD29-2F22BCD85E1B}"/>
                </c:ext>
              </c:extLst>
            </c:dLbl>
            <c:dLbl>
              <c:idx val="2"/>
              <c:layout>
                <c:manualLayout>
                  <c:x val="-7.3916425955241572E-17"/>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DF5-45D0-AD29-2F22BCD85E1B}"/>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зобовязання!$C$26:$F$26</c:f>
              <c:strCache>
                <c:ptCount val="4"/>
                <c:pt idx="0">
                  <c:v>2021 рік</c:v>
                </c:pt>
                <c:pt idx="1">
                  <c:v>2022 рік</c:v>
                </c:pt>
                <c:pt idx="2">
                  <c:v>2023 рік</c:v>
                </c:pt>
                <c:pt idx="3">
                  <c:v>2024 рік</c:v>
                </c:pt>
              </c:strCache>
            </c:strRef>
          </c:cat>
          <c:val>
            <c:numRef>
              <c:f>зобовязання!$C$27:$F$27</c:f>
              <c:numCache>
                <c:formatCode>0.0</c:formatCode>
                <c:ptCount val="4"/>
                <c:pt idx="0">
                  <c:v>0.2366</c:v>
                </c:pt>
                <c:pt idx="1">
                  <c:v>0.2366</c:v>
                </c:pt>
                <c:pt idx="2">
                  <c:v>0.2366</c:v>
                </c:pt>
                <c:pt idx="3">
                  <c:v>2.2044999999999999</c:v>
                </c:pt>
              </c:numCache>
            </c:numRef>
          </c:val>
          <c:extLst>
            <c:ext xmlns:c16="http://schemas.microsoft.com/office/drawing/2014/chart" uri="{C3380CC4-5D6E-409C-BE32-E72D297353CC}">
              <c16:uniqueId val="{00000002-1DF5-45D0-AD29-2F22BCD85E1B}"/>
            </c:ext>
          </c:extLst>
        </c:ser>
        <c:ser>
          <c:idx val="1"/>
          <c:order val="1"/>
          <c:tx>
            <c:strRef>
              <c:f>зобовязання!$B$28</c:f>
              <c:strCache>
                <c:ptCount val="1"/>
                <c:pt idx="0">
                  <c:v>АТ "Укрзалізниця"</c:v>
                </c:pt>
              </c:strCache>
            </c:strRef>
          </c:tx>
          <c:spPr>
            <a:solidFill>
              <a:schemeClr val="accent3"/>
            </a:solidFill>
            <a:ln>
              <a:noFill/>
            </a:ln>
            <a:effectLst/>
          </c:spPr>
          <c:invertIfNegative val="0"/>
          <c:dLbls>
            <c:dLbl>
              <c:idx val="0"/>
              <c:layout>
                <c:manualLayout>
                  <c:x val="0"/>
                  <c:y val="9.68043942960725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DF5-45D0-AD29-2F22BCD85E1B}"/>
                </c:ext>
              </c:extLst>
            </c:dLbl>
            <c:dLbl>
              <c:idx val="1"/>
              <c:layout>
                <c:manualLayout>
                  <c:x val="0"/>
                  <c:y val="3.1220730565095223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1DF5-45D0-AD29-2F22BCD85E1B}"/>
                </c:ext>
              </c:extLst>
            </c:dLbl>
            <c:dLbl>
              <c:idx val="2"/>
              <c:layout>
                <c:manualLayout>
                  <c:x val="0"/>
                  <c:y val="6.244146113019044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1DF5-45D0-AD29-2F22BCD85E1B}"/>
                </c:ext>
              </c:extLst>
            </c:dLbl>
            <c:dLbl>
              <c:idx val="3"/>
              <c:layout>
                <c:manualLayout>
                  <c:x val="2.0159258139300475E-3"/>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1DF5-45D0-AD29-2F22BCD85E1B}"/>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зобовязання!$C$26:$F$26</c:f>
              <c:strCache>
                <c:ptCount val="4"/>
                <c:pt idx="0">
                  <c:v>2021 рік</c:v>
                </c:pt>
                <c:pt idx="1">
                  <c:v>2022 рік</c:v>
                </c:pt>
                <c:pt idx="2">
                  <c:v>2023 рік</c:v>
                </c:pt>
                <c:pt idx="3">
                  <c:v>2024 рік</c:v>
                </c:pt>
              </c:strCache>
            </c:strRef>
          </c:cat>
          <c:val>
            <c:numRef>
              <c:f>зобовязання!$C$28:$F$28</c:f>
              <c:numCache>
                <c:formatCode>0.0</c:formatCode>
                <c:ptCount val="4"/>
                <c:pt idx="0">
                  <c:v>0.19016205867906802</c:v>
                </c:pt>
                <c:pt idx="1">
                  <c:v>0.11692588963910415</c:v>
                </c:pt>
                <c:pt idx="2">
                  <c:v>0.13291462049064665</c:v>
                </c:pt>
                <c:pt idx="3">
                  <c:v>0.13714438625685324</c:v>
                </c:pt>
              </c:numCache>
            </c:numRef>
          </c:val>
          <c:extLst>
            <c:ext xmlns:c16="http://schemas.microsoft.com/office/drawing/2014/chart" uri="{C3380CC4-5D6E-409C-BE32-E72D297353CC}">
              <c16:uniqueId val="{00000007-1DF5-45D0-AD29-2F22BCD85E1B}"/>
            </c:ext>
          </c:extLst>
        </c:ser>
        <c:ser>
          <c:idx val="2"/>
          <c:order val="2"/>
          <c:tx>
            <c:strRef>
              <c:f>зобовязання!$B$29</c:f>
              <c:strCache>
                <c:ptCount val="1"/>
                <c:pt idx="0">
                  <c:v>ДП "МА "Бориспіль"</c:v>
                </c:pt>
              </c:strCache>
            </c:strRef>
          </c:tx>
          <c:spPr>
            <a:solidFill>
              <a:schemeClr val="accent6"/>
            </a:solidFill>
            <a:ln>
              <a:noFill/>
            </a:ln>
            <a:effectLst/>
          </c:spPr>
          <c:invertIfNegative val="0"/>
          <c:dPt>
            <c:idx val="1"/>
            <c:invertIfNegative val="0"/>
            <c:bubble3D val="0"/>
            <c:spPr>
              <a:solidFill>
                <a:schemeClr val="accent6"/>
              </a:solidFill>
              <a:ln>
                <a:noFill/>
              </a:ln>
              <a:effectLst/>
              <a:sp3d/>
            </c:spPr>
            <c:extLst>
              <c:ext xmlns:c16="http://schemas.microsoft.com/office/drawing/2014/chart" uri="{C3380CC4-5D6E-409C-BE32-E72D297353CC}">
                <c16:uniqueId val="{00000009-1DF5-45D0-AD29-2F22BCD85E1B}"/>
              </c:ext>
            </c:extLst>
          </c:dPt>
          <c:dPt>
            <c:idx val="2"/>
            <c:invertIfNegative val="0"/>
            <c:bubble3D val="0"/>
            <c:spPr>
              <a:solidFill>
                <a:schemeClr val="accent6"/>
              </a:solidFill>
              <a:ln>
                <a:noFill/>
              </a:ln>
              <a:effectLst/>
              <a:sp3d/>
            </c:spPr>
            <c:extLst>
              <c:ext xmlns:c16="http://schemas.microsoft.com/office/drawing/2014/chart" uri="{C3380CC4-5D6E-409C-BE32-E72D297353CC}">
                <c16:uniqueId val="{0000000B-1DF5-45D0-AD29-2F22BCD85E1B}"/>
              </c:ext>
            </c:extLst>
          </c:dPt>
          <c:dLbls>
            <c:dLbl>
              <c:idx val="0"/>
              <c:layout>
                <c:manualLayout>
                  <c:x val="-2.0159258139300475E-3"/>
                  <c:y val="-1.1447468965063247E-16"/>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1DF5-45D0-AD29-2F22BCD85E1B}"/>
                </c:ext>
              </c:extLst>
            </c:dLbl>
            <c:dLbl>
              <c:idx val="1"/>
              <c:layout>
                <c:manualLayout>
                  <c:x val="-7.3916425955241572E-17"/>
                  <c:y val="6.244146113019044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1DF5-45D0-AD29-2F22BCD85E1B}"/>
                </c:ext>
              </c:extLst>
            </c:dLbl>
            <c:dLbl>
              <c:idx val="3"/>
              <c:layout>
                <c:manualLayout>
                  <c:x val="2.0159258139299733E-3"/>
                  <c:y val="-1.260008353783422E-16"/>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1DF5-45D0-AD29-2F22BCD85E1B}"/>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зобовязання!$C$26:$F$26</c:f>
              <c:strCache>
                <c:ptCount val="4"/>
                <c:pt idx="0">
                  <c:v>2021 рік</c:v>
                </c:pt>
                <c:pt idx="1">
                  <c:v>2022 рік</c:v>
                </c:pt>
                <c:pt idx="2">
                  <c:v>2023 рік</c:v>
                </c:pt>
                <c:pt idx="3">
                  <c:v>2024 рік</c:v>
                </c:pt>
              </c:strCache>
            </c:strRef>
          </c:cat>
          <c:val>
            <c:numRef>
              <c:f>зобовязання!$C$29:$F$29</c:f>
              <c:numCache>
                <c:formatCode>0.0</c:formatCode>
                <c:ptCount val="4"/>
                <c:pt idx="0">
                  <c:v>0.29660000000000003</c:v>
                </c:pt>
                <c:pt idx="1">
                  <c:v>0.29919999999999997</c:v>
                </c:pt>
                <c:pt idx="2">
                  <c:v>0.29749999999999999</c:v>
                </c:pt>
                <c:pt idx="3">
                  <c:v>0.29799999999999999</c:v>
                </c:pt>
              </c:numCache>
            </c:numRef>
          </c:val>
          <c:extLst>
            <c:ext xmlns:c16="http://schemas.microsoft.com/office/drawing/2014/chart" uri="{C3380CC4-5D6E-409C-BE32-E72D297353CC}">
              <c16:uniqueId val="{0000000E-1DF5-45D0-AD29-2F22BCD85E1B}"/>
            </c:ext>
          </c:extLst>
        </c:ser>
        <c:ser>
          <c:idx val="3"/>
          <c:order val="3"/>
          <c:tx>
            <c:strRef>
              <c:f>зобовязання!$B$30</c:f>
              <c:strCache>
                <c:ptCount val="1"/>
                <c:pt idx="0">
                  <c:v>АТ  "Укртрансгаз"</c:v>
                </c:pt>
              </c:strCache>
            </c:strRef>
          </c:tx>
          <c:spPr>
            <a:solidFill>
              <a:schemeClr val="accent4"/>
            </a:solidFill>
            <a:ln>
              <a:noFill/>
            </a:ln>
            <a:effectLst/>
          </c:spPr>
          <c:invertIfNegative val="0"/>
          <c:dPt>
            <c:idx val="1"/>
            <c:invertIfNegative val="0"/>
            <c:bubble3D val="0"/>
            <c:spPr>
              <a:solidFill>
                <a:schemeClr val="accent4"/>
              </a:solidFill>
              <a:ln>
                <a:noFill/>
              </a:ln>
              <a:effectLst/>
              <a:sp3d/>
            </c:spPr>
            <c:extLst>
              <c:ext xmlns:c16="http://schemas.microsoft.com/office/drawing/2014/chart" uri="{C3380CC4-5D6E-409C-BE32-E72D297353CC}">
                <c16:uniqueId val="{00000010-1DF5-45D0-AD29-2F22BCD85E1B}"/>
              </c:ext>
            </c:extLst>
          </c:dPt>
          <c:dPt>
            <c:idx val="2"/>
            <c:invertIfNegative val="0"/>
            <c:bubble3D val="0"/>
            <c:spPr>
              <a:solidFill>
                <a:schemeClr val="accent4"/>
              </a:solidFill>
              <a:ln>
                <a:noFill/>
              </a:ln>
              <a:effectLst/>
              <a:sp3d/>
            </c:spPr>
            <c:extLst>
              <c:ext xmlns:c16="http://schemas.microsoft.com/office/drawing/2014/chart" uri="{C3380CC4-5D6E-409C-BE32-E72D297353CC}">
                <c16:uniqueId val="{00000012-1DF5-45D0-AD29-2F22BCD85E1B}"/>
              </c:ext>
            </c:extLst>
          </c:dPt>
          <c:dLbls>
            <c:dLbl>
              <c:idx val="0"/>
              <c:layout>
                <c:manualLayout>
                  <c:x val="-2.0159258139300657E-3"/>
                  <c:y val="6.24414611301893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1DF5-45D0-AD29-2F22BCD85E1B}"/>
                </c:ext>
              </c:extLst>
            </c:dLbl>
            <c:dLbl>
              <c:idx val="2"/>
              <c:layout>
                <c:manualLayout>
                  <c:x val="0"/>
                  <c:y val="6.24414611301893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1DF5-45D0-AD29-2F22BCD85E1B}"/>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зобовязання!$C$26:$F$26</c:f>
              <c:strCache>
                <c:ptCount val="4"/>
                <c:pt idx="0">
                  <c:v>2021 рік</c:v>
                </c:pt>
                <c:pt idx="1">
                  <c:v>2022 рік</c:v>
                </c:pt>
                <c:pt idx="2">
                  <c:v>2023 рік</c:v>
                </c:pt>
                <c:pt idx="3">
                  <c:v>2024 рік</c:v>
                </c:pt>
              </c:strCache>
            </c:strRef>
          </c:cat>
          <c:val>
            <c:numRef>
              <c:f>зобовязання!$C$30:$F$30</c:f>
              <c:numCache>
                <c:formatCode>0.0</c:formatCode>
                <c:ptCount val="4"/>
                <c:pt idx="0">
                  <c:v>0.61339999999999995</c:v>
                </c:pt>
                <c:pt idx="1">
                  <c:v>0.38719999999999999</c:v>
                </c:pt>
                <c:pt idx="2">
                  <c:v>0.19490000000000002</c:v>
                </c:pt>
                <c:pt idx="3">
                  <c:v>0</c:v>
                </c:pt>
              </c:numCache>
            </c:numRef>
          </c:val>
          <c:extLst>
            <c:ext xmlns:c16="http://schemas.microsoft.com/office/drawing/2014/chart" uri="{C3380CC4-5D6E-409C-BE32-E72D297353CC}">
              <c16:uniqueId val="{00000014-1DF5-45D0-AD29-2F22BCD85E1B}"/>
            </c:ext>
          </c:extLst>
        </c:ser>
        <c:ser>
          <c:idx val="4"/>
          <c:order val="4"/>
          <c:tx>
            <c:strRef>
              <c:f>зобовязання!$B$31</c:f>
              <c:strCache>
                <c:ptCount val="1"/>
                <c:pt idx="0">
                  <c:v>ПрАТ "Укргідроенерго"</c:v>
                </c:pt>
              </c:strCache>
            </c:strRef>
          </c:tx>
          <c:spPr>
            <a:gradFill flip="none" rotWithShape="1">
              <a:gsLst>
                <a:gs pos="0">
                  <a:schemeClr val="accent6">
                    <a:lumMod val="60000"/>
                    <a:lumOff val="40000"/>
                    <a:shade val="30000"/>
                    <a:satMod val="115000"/>
                  </a:schemeClr>
                </a:gs>
                <a:gs pos="50000">
                  <a:schemeClr val="accent6">
                    <a:lumMod val="60000"/>
                    <a:lumOff val="40000"/>
                    <a:shade val="67500"/>
                    <a:satMod val="115000"/>
                  </a:schemeClr>
                </a:gs>
                <a:gs pos="100000">
                  <a:schemeClr val="accent6">
                    <a:lumMod val="60000"/>
                    <a:lumOff val="40000"/>
                    <a:shade val="100000"/>
                    <a:satMod val="115000"/>
                  </a:schemeClr>
                </a:gs>
              </a:gsLst>
              <a:lin ang="13500000" scaled="1"/>
              <a:tileRect/>
            </a:gradFill>
            <a:ln>
              <a:noFill/>
            </a:ln>
            <a:effectLst/>
          </c:spPr>
          <c:invertIfNegative val="0"/>
          <c:dLbls>
            <c:dLbl>
              <c:idx val="0"/>
              <c:layout>
                <c:manualLayout>
                  <c:x val="-4.031851627860095E-3"/>
                  <c:y val="3.122073056509407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5-1DF5-45D0-AD29-2F22BCD85E1B}"/>
                </c:ext>
              </c:extLst>
            </c:dLbl>
            <c:dLbl>
              <c:idx val="1"/>
              <c:layout>
                <c:manualLayout>
                  <c:x val="-4.0318516278600577E-3"/>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6-1DF5-45D0-AD29-2F22BCD85E1B}"/>
                </c:ext>
              </c:extLst>
            </c:dLbl>
            <c:dLbl>
              <c:idx val="2"/>
              <c:layout>
                <c:manualLayout>
                  <c:x val="-4.031851627860095E-3"/>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7-1DF5-45D0-AD29-2F22BCD85E1B}"/>
                </c:ext>
              </c:extLst>
            </c:dLbl>
            <c:dLbl>
              <c:idx val="3"/>
              <c:layout>
                <c:manualLayout>
                  <c:x val="-6.0477774417901425E-3"/>
                  <c:y val="6.24414611301893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8-1DF5-45D0-AD29-2F22BCD85E1B}"/>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зобовязання!$C$26:$F$26</c:f>
              <c:strCache>
                <c:ptCount val="4"/>
                <c:pt idx="0">
                  <c:v>2021 рік</c:v>
                </c:pt>
                <c:pt idx="1">
                  <c:v>2022 рік</c:v>
                </c:pt>
                <c:pt idx="2">
                  <c:v>2023 рік</c:v>
                </c:pt>
                <c:pt idx="3">
                  <c:v>2024 рік</c:v>
                </c:pt>
              </c:strCache>
            </c:strRef>
          </c:cat>
          <c:val>
            <c:numRef>
              <c:f>зобовязання!$C$31:$F$31</c:f>
              <c:numCache>
                <c:formatCode>0.0</c:formatCode>
                <c:ptCount val="4"/>
                <c:pt idx="0">
                  <c:v>1.3256978558297283</c:v>
                </c:pt>
                <c:pt idx="1">
                  <c:v>1.230999026255867</c:v>
                </c:pt>
                <c:pt idx="2">
                  <c:v>1.2847438345179683</c:v>
                </c:pt>
                <c:pt idx="3">
                  <c:v>0.90887049451740487</c:v>
                </c:pt>
              </c:numCache>
            </c:numRef>
          </c:val>
          <c:extLst>
            <c:ext xmlns:c16="http://schemas.microsoft.com/office/drawing/2014/chart" uri="{C3380CC4-5D6E-409C-BE32-E72D297353CC}">
              <c16:uniqueId val="{00000019-1DF5-45D0-AD29-2F22BCD85E1B}"/>
            </c:ext>
          </c:extLst>
        </c:ser>
        <c:ser>
          <c:idx val="5"/>
          <c:order val="5"/>
          <c:tx>
            <c:strRef>
              <c:f>зобовязання!$B$32</c:f>
              <c:strCache>
                <c:ptCount val="1"/>
                <c:pt idx="0">
                  <c:v>ДП "НАЕК "Енергоатом"</c:v>
                </c:pt>
              </c:strCache>
            </c:strRef>
          </c:tx>
          <c:spPr>
            <a:gradFill flip="none" rotWithShape="1">
              <a:gsLst>
                <a:gs pos="0">
                  <a:srgbClr val="FF0000">
                    <a:shade val="30000"/>
                    <a:satMod val="115000"/>
                  </a:srgbClr>
                </a:gs>
                <a:gs pos="50000">
                  <a:srgbClr val="FF0000">
                    <a:shade val="67500"/>
                    <a:satMod val="115000"/>
                  </a:srgbClr>
                </a:gs>
                <a:gs pos="100000">
                  <a:srgbClr val="FF0000">
                    <a:shade val="100000"/>
                    <a:satMod val="115000"/>
                  </a:srgbClr>
                </a:gs>
              </a:gsLst>
              <a:lin ang="13500000" scaled="1"/>
              <a:tileRect/>
            </a:gradFill>
            <a:ln>
              <a:noFill/>
            </a:ln>
            <a:effectLst/>
          </c:spPr>
          <c:invertIfNegative val="0"/>
          <c:dLbls>
            <c:dLbl>
              <c:idx val="0"/>
              <c:layout>
                <c:manualLayout>
                  <c:x val="-6.0477774417901425E-3"/>
                  <c:y val="9.366219169528566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A-1DF5-45D0-AD29-2F22BCD85E1B}"/>
                </c:ext>
              </c:extLst>
            </c:dLbl>
            <c:dLbl>
              <c:idx val="1"/>
              <c:layout>
                <c:manualLayout>
                  <c:x val="-2.0159258139300475E-3"/>
                  <c:y val="3.1220730565095223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B-1DF5-45D0-AD29-2F22BCD85E1B}"/>
                </c:ext>
              </c:extLst>
            </c:dLbl>
            <c:dLbl>
              <c:idx val="2"/>
              <c:layout>
                <c:manualLayout>
                  <c:x val="-6.0477774417900679E-3"/>
                  <c:y val="1.374570446735395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C-1DF5-45D0-AD29-2F22BCD85E1B}"/>
                </c:ext>
              </c:extLst>
            </c:dLbl>
            <c:dLbl>
              <c:idx val="3"/>
              <c:layout>
                <c:manualLayout>
                  <c:x val="-4.0318516278602425E-3"/>
                  <c:y val="1.030927835051546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D-1DF5-45D0-AD29-2F22BCD85E1B}"/>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зобовязання!$C$26:$F$26</c:f>
              <c:strCache>
                <c:ptCount val="4"/>
                <c:pt idx="0">
                  <c:v>2021 рік</c:v>
                </c:pt>
                <c:pt idx="1">
                  <c:v>2022 рік</c:v>
                </c:pt>
                <c:pt idx="2">
                  <c:v>2023 рік</c:v>
                </c:pt>
                <c:pt idx="3">
                  <c:v>2024 рік</c:v>
                </c:pt>
              </c:strCache>
            </c:strRef>
          </c:cat>
          <c:val>
            <c:numRef>
              <c:f>зобовязання!$C$32:$F$32</c:f>
              <c:numCache>
                <c:formatCode>0.0</c:formatCode>
                <c:ptCount val="4"/>
                <c:pt idx="0">
                  <c:v>1.7422193509022237</c:v>
                </c:pt>
                <c:pt idx="1">
                  <c:v>1.893887875928427</c:v>
                </c:pt>
                <c:pt idx="2">
                  <c:v>2.6879253816796673</c:v>
                </c:pt>
                <c:pt idx="3">
                  <c:v>2.400318602780763</c:v>
                </c:pt>
              </c:numCache>
            </c:numRef>
          </c:val>
          <c:extLst>
            <c:ext xmlns:c16="http://schemas.microsoft.com/office/drawing/2014/chart" uri="{C3380CC4-5D6E-409C-BE32-E72D297353CC}">
              <c16:uniqueId val="{0000001E-1DF5-45D0-AD29-2F22BCD85E1B}"/>
            </c:ext>
          </c:extLst>
        </c:ser>
        <c:ser>
          <c:idx val="6"/>
          <c:order val="6"/>
          <c:tx>
            <c:strRef>
              <c:f>зобовязання!$B$33</c:f>
              <c:strCache>
                <c:ptCount val="1"/>
                <c:pt idx="0">
                  <c:v>НЕК "Укренерго"</c:v>
                </c:pt>
              </c:strCache>
            </c:strRef>
          </c:tx>
          <c:spPr>
            <a:gradFill flip="none" rotWithShape="1">
              <a:gsLst>
                <a:gs pos="0">
                  <a:schemeClr val="bg1">
                    <a:lumMod val="65000"/>
                    <a:shade val="30000"/>
                    <a:satMod val="115000"/>
                  </a:schemeClr>
                </a:gs>
                <a:gs pos="50000">
                  <a:schemeClr val="bg1">
                    <a:lumMod val="65000"/>
                    <a:shade val="67500"/>
                    <a:satMod val="115000"/>
                  </a:schemeClr>
                </a:gs>
                <a:gs pos="100000">
                  <a:schemeClr val="bg1">
                    <a:lumMod val="65000"/>
                    <a:shade val="100000"/>
                    <a:satMod val="115000"/>
                  </a:schemeClr>
                </a:gs>
              </a:gsLst>
              <a:lin ang="13500000" scaled="1"/>
              <a:tileRect/>
            </a:gradFill>
            <a:ln>
              <a:noFill/>
            </a:ln>
            <a:effectLst/>
          </c:spPr>
          <c:invertIfNegative val="0"/>
          <c:dPt>
            <c:idx val="1"/>
            <c:invertIfNegative val="0"/>
            <c:bubble3D val="0"/>
            <c:spPr>
              <a:gradFill flip="none" rotWithShape="1">
                <a:gsLst>
                  <a:gs pos="0">
                    <a:schemeClr val="bg1">
                      <a:lumMod val="65000"/>
                      <a:shade val="30000"/>
                      <a:satMod val="115000"/>
                    </a:schemeClr>
                  </a:gs>
                  <a:gs pos="50000">
                    <a:schemeClr val="bg1">
                      <a:lumMod val="65000"/>
                      <a:shade val="67500"/>
                      <a:satMod val="115000"/>
                    </a:schemeClr>
                  </a:gs>
                  <a:gs pos="100000">
                    <a:schemeClr val="bg1">
                      <a:lumMod val="65000"/>
                      <a:shade val="100000"/>
                      <a:satMod val="115000"/>
                    </a:schemeClr>
                  </a:gs>
                </a:gsLst>
                <a:lin ang="13500000" scaled="1"/>
                <a:tileRect/>
              </a:gradFill>
              <a:ln>
                <a:noFill/>
              </a:ln>
              <a:effectLst/>
              <a:sp3d/>
            </c:spPr>
            <c:extLst>
              <c:ext xmlns:c16="http://schemas.microsoft.com/office/drawing/2014/chart" uri="{C3380CC4-5D6E-409C-BE32-E72D297353CC}">
                <c16:uniqueId val="{00000020-1DF5-45D0-AD29-2F22BCD85E1B}"/>
              </c:ext>
            </c:extLst>
          </c:dPt>
          <c:dPt>
            <c:idx val="2"/>
            <c:invertIfNegative val="0"/>
            <c:bubble3D val="0"/>
            <c:spPr>
              <a:gradFill flip="none" rotWithShape="1">
                <a:gsLst>
                  <a:gs pos="0">
                    <a:schemeClr val="bg1">
                      <a:lumMod val="65000"/>
                      <a:shade val="30000"/>
                      <a:satMod val="115000"/>
                    </a:schemeClr>
                  </a:gs>
                  <a:gs pos="50000">
                    <a:schemeClr val="bg1">
                      <a:lumMod val="65000"/>
                      <a:shade val="67500"/>
                      <a:satMod val="115000"/>
                    </a:schemeClr>
                  </a:gs>
                  <a:gs pos="100000">
                    <a:schemeClr val="bg1">
                      <a:lumMod val="65000"/>
                      <a:shade val="100000"/>
                      <a:satMod val="115000"/>
                    </a:schemeClr>
                  </a:gs>
                </a:gsLst>
                <a:lin ang="13500000" scaled="1"/>
                <a:tileRect/>
              </a:gradFill>
              <a:ln>
                <a:noFill/>
              </a:ln>
              <a:effectLst/>
              <a:sp3d/>
            </c:spPr>
            <c:extLst>
              <c:ext xmlns:c16="http://schemas.microsoft.com/office/drawing/2014/chart" uri="{C3380CC4-5D6E-409C-BE32-E72D297353CC}">
                <c16:uniqueId val="{00000022-1DF5-45D0-AD29-2F22BCD85E1B}"/>
              </c:ext>
            </c:extLst>
          </c:dPt>
          <c:dLbls>
            <c:dLbl>
              <c:idx val="0"/>
              <c:layout>
                <c:manualLayout>
                  <c:x val="-4.031851627860095E-3"/>
                  <c:y val="1.248829222603808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3-1DF5-45D0-AD29-2F22BCD85E1B}"/>
                </c:ext>
              </c:extLst>
            </c:dLbl>
            <c:dLbl>
              <c:idx val="1"/>
              <c:layout>
                <c:manualLayout>
                  <c:x val="-4.031851627860095E-3"/>
                  <c:y val="1.030927835051546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0-1DF5-45D0-AD29-2F22BCD85E1B}"/>
                </c:ext>
              </c:extLst>
            </c:dLbl>
            <c:dLbl>
              <c:idx val="2"/>
              <c:layout>
                <c:manualLayout>
                  <c:x val="-6.0477774417901425E-3"/>
                  <c:y val="1.343128500689991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2-1DF5-45D0-AD29-2F22BCD85E1B}"/>
                </c:ext>
              </c:extLst>
            </c:dLbl>
            <c:dLbl>
              <c:idx val="3"/>
              <c:layout>
                <c:manualLayout>
                  <c:x val="-2.0159258139301954E-3"/>
                  <c:y val="-3.1220730565095223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4-1DF5-45D0-AD29-2F22BCD85E1B}"/>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зобовязання!$C$26:$F$26</c:f>
              <c:strCache>
                <c:ptCount val="4"/>
                <c:pt idx="0">
                  <c:v>2021 рік</c:v>
                </c:pt>
                <c:pt idx="1">
                  <c:v>2022 рік</c:v>
                </c:pt>
                <c:pt idx="2">
                  <c:v>2023 рік</c:v>
                </c:pt>
                <c:pt idx="3">
                  <c:v>2024 рік</c:v>
                </c:pt>
              </c:strCache>
            </c:strRef>
          </c:cat>
          <c:val>
            <c:numRef>
              <c:f>зобовязання!$C$33:$F$33</c:f>
              <c:numCache>
                <c:formatCode>0.0</c:formatCode>
                <c:ptCount val="4"/>
                <c:pt idx="0">
                  <c:v>2.7257193449842854</c:v>
                </c:pt>
                <c:pt idx="1">
                  <c:v>5.6413069782053249</c:v>
                </c:pt>
                <c:pt idx="2">
                  <c:v>4.7955537753176998</c:v>
                </c:pt>
                <c:pt idx="3">
                  <c:v>2.5003771347884456</c:v>
                </c:pt>
              </c:numCache>
            </c:numRef>
          </c:val>
          <c:extLst>
            <c:ext xmlns:c16="http://schemas.microsoft.com/office/drawing/2014/chart" uri="{C3380CC4-5D6E-409C-BE32-E72D297353CC}">
              <c16:uniqueId val="{00000025-1DF5-45D0-AD29-2F22BCD85E1B}"/>
            </c:ext>
          </c:extLst>
        </c:ser>
        <c:ser>
          <c:idx val="7"/>
          <c:order val="7"/>
          <c:tx>
            <c:strRef>
              <c:f>зобовязання!$B$34</c:f>
              <c:strCache>
                <c:ptCount val="1"/>
                <c:pt idx="0">
                  <c:v>АТ "ДПЗКУ"</c:v>
                </c:pt>
              </c:strCache>
            </c:strRef>
          </c:tx>
          <c:spPr>
            <a:gradFill flip="none" rotWithShape="1">
              <a:gsLst>
                <a:gs pos="0">
                  <a:srgbClr val="FFC000">
                    <a:shade val="30000"/>
                    <a:satMod val="115000"/>
                  </a:srgbClr>
                </a:gs>
                <a:gs pos="50000">
                  <a:srgbClr val="FFC000">
                    <a:shade val="67500"/>
                    <a:satMod val="115000"/>
                  </a:srgbClr>
                </a:gs>
                <a:gs pos="100000">
                  <a:srgbClr val="FFC000">
                    <a:shade val="100000"/>
                    <a:satMod val="115000"/>
                  </a:srgbClr>
                </a:gs>
              </a:gsLst>
              <a:lin ang="13500000" scaled="1"/>
              <a:tileRect/>
            </a:gradFill>
            <a:ln>
              <a:noFill/>
            </a:ln>
            <a:effectLst/>
          </c:spPr>
          <c:invertIfNegative val="0"/>
          <c:dLbls>
            <c:dLbl>
              <c:idx val="0"/>
              <c:layout>
                <c:manualLayout>
                  <c:x val="0"/>
                  <c:y val="1.623914278756392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6-1DF5-45D0-AD29-2F22BCD85E1B}"/>
                </c:ext>
              </c:extLst>
            </c:dLbl>
            <c:dLbl>
              <c:idx val="1"/>
              <c:layout>
                <c:manualLayout>
                  <c:x val="0"/>
                  <c:y val="1.561036528254761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7-1DF5-45D0-AD29-2F22BCD85E1B}"/>
                </c:ext>
              </c:extLst>
            </c:dLbl>
            <c:dLbl>
              <c:idx val="2"/>
              <c:layout>
                <c:manualLayout>
                  <c:x val="-7.3916425955241572E-17"/>
                  <c:y val="6.244146113019044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8-1DF5-45D0-AD29-2F22BCD85E1B}"/>
                </c:ext>
              </c:extLst>
            </c:dLbl>
            <c:dLbl>
              <c:idx val="3"/>
              <c:layout>
                <c:manualLayout>
                  <c:x val="0"/>
                  <c:y val="1.280271667072540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9-1DF5-45D0-AD29-2F22BCD85E1B}"/>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зобовязання!$C$26:$F$26</c:f>
              <c:strCache>
                <c:ptCount val="4"/>
                <c:pt idx="0">
                  <c:v>2021 рік</c:v>
                </c:pt>
                <c:pt idx="1">
                  <c:v>2022 рік</c:v>
                </c:pt>
                <c:pt idx="2">
                  <c:v>2023 рік</c:v>
                </c:pt>
                <c:pt idx="3">
                  <c:v>2024 рік</c:v>
                </c:pt>
              </c:strCache>
            </c:strRef>
          </c:cat>
          <c:val>
            <c:numRef>
              <c:f>зобовязання!$C$34:$F$34</c:f>
              <c:numCache>
                <c:formatCode>0.0</c:formatCode>
                <c:ptCount val="4"/>
                <c:pt idx="0">
                  <c:v>5.8471855388799998</c:v>
                </c:pt>
                <c:pt idx="1">
                  <c:v>6.2940973332379997</c:v>
                </c:pt>
                <c:pt idx="2">
                  <c:v>5.9877120000960007</c:v>
                </c:pt>
                <c:pt idx="3">
                  <c:v>5.7190146664719999</c:v>
                </c:pt>
              </c:numCache>
            </c:numRef>
          </c:val>
          <c:extLst>
            <c:ext xmlns:c16="http://schemas.microsoft.com/office/drawing/2014/chart" uri="{C3380CC4-5D6E-409C-BE32-E72D297353CC}">
              <c16:uniqueId val="{0000002A-1DF5-45D0-AD29-2F22BCD85E1B}"/>
            </c:ext>
          </c:extLst>
        </c:ser>
        <c:dLbls>
          <c:showLegendKey val="0"/>
          <c:showVal val="0"/>
          <c:showCatName val="0"/>
          <c:showSerName val="0"/>
          <c:showPercent val="0"/>
          <c:showBubbleSize val="0"/>
        </c:dLbls>
        <c:gapWidth val="150"/>
        <c:axId val="1100496239"/>
        <c:axId val="1100496655"/>
      </c:barChart>
      <c:catAx>
        <c:axId val="1100496239"/>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1100496655"/>
        <c:crosses val="autoZero"/>
        <c:auto val="1"/>
        <c:lblAlgn val="ctr"/>
        <c:lblOffset val="100"/>
        <c:noMultiLvlLbl val="0"/>
      </c:catAx>
      <c:valAx>
        <c:axId val="1100496655"/>
        <c:scaling>
          <c:orientation val="minMax"/>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uk-UA" sz="900" b="0" i="0" baseline="0">
                    <a:effectLst/>
                  </a:rPr>
                  <a:t>млрд гривень</a:t>
                </a:r>
                <a:endParaRPr lang="uk-UA" sz="900" b="0">
                  <a:effectLst/>
                </a:endParaRPr>
              </a:p>
            </c:rich>
          </c:tx>
          <c:layout>
            <c:manualLayout>
              <c:xMode val="edge"/>
              <c:yMode val="edge"/>
              <c:x val="1.6170755097920447E-3"/>
              <c:y val="0.42727480109908145"/>
            </c:manualLayout>
          </c:layout>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1100496239"/>
        <c:crosses val="autoZero"/>
        <c:crossBetween val="between"/>
      </c:valAx>
      <c:spPr>
        <a:noFill/>
        <a:ln>
          <a:noFill/>
        </a:ln>
        <a:effectLst/>
      </c:spPr>
    </c:plotArea>
    <c:legend>
      <c:legendPos val="r"/>
      <c:layout>
        <c:manualLayout>
          <c:xMode val="edge"/>
          <c:yMode val="edge"/>
          <c:x val="0.79884092202414825"/>
          <c:y val="0.2070690737489653"/>
          <c:w val="0.18944083456154009"/>
          <c:h val="0.69259309710218497"/>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1" i="0" u="none" strike="noStrike" kern="1200" baseline="0">
                <a:solidFill>
                  <a:sysClr val="windowText" lastClr="000000"/>
                </a:solidFill>
                <a:latin typeface="+mn-lt"/>
                <a:ea typeface="+mn-ea"/>
                <a:cs typeface="+mn-cs"/>
              </a:defRPr>
            </a:pPr>
            <a:r>
              <a:rPr lang="uk-UA" sz="1000">
                <a:solidFill>
                  <a:sysClr val="windowText" lastClr="000000"/>
                </a:solidFill>
              </a:rPr>
              <a:t>Інформація про зобов’язання суб’єктів господарювання за запозиченнями в іноземних валютах та їх частку в загальній сумі зобов’язань </a:t>
            </a:r>
            <a:r>
              <a:rPr lang="uk-UA" sz="1000" b="1" i="0" u="none" strike="noStrike" baseline="0">
                <a:effectLst/>
              </a:rPr>
              <a:t>за запозиченнями </a:t>
            </a:r>
            <a:r>
              <a:rPr lang="uk-UA" sz="1000">
                <a:solidFill>
                  <a:sysClr val="windowText" lastClr="000000"/>
                </a:solidFill>
              </a:rPr>
              <a:t>станом на 01.01.2021</a:t>
            </a:r>
          </a:p>
        </c:rich>
      </c:tx>
      <c:layout>
        <c:manualLayout>
          <c:xMode val="edge"/>
          <c:yMode val="edge"/>
          <c:x val="0.10049280532990623"/>
          <c:y val="5.6258790436005681E-4"/>
        </c:manualLayout>
      </c:layout>
      <c:overlay val="0"/>
      <c:spPr>
        <a:noFill/>
        <a:ln>
          <a:noFill/>
        </a:ln>
        <a:effectLst/>
      </c:spPr>
    </c:title>
    <c:autoTitleDeleted val="0"/>
    <c:plotArea>
      <c:layout>
        <c:manualLayout>
          <c:layoutTarget val="inner"/>
          <c:xMode val="edge"/>
          <c:yMode val="edge"/>
          <c:x val="0.10098806197612395"/>
          <c:y val="0.12734796947336738"/>
          <c:w val="0.8208651100632175"/>
          <c:h val="0.56464140558379572"/>
        </c:manualLayout>
      </c:layout>
      <c:barChart>
        <c:barDir val="col"/>
        <c:grouping val="clustered"/>
        <c:varyColors val="0"/>
        <c:ser>
          <c:idx val="0"/>
          <c:order val="0"/>
          <c:tx>
            <c:strRef>
              <c:f>зобовязання!$B$61</c:f>
              <c:strCache>
                <c:ptCount val="1"/>
                <c:pt idx="0">
                  <c:v>Зобов'язання за запозиченнями, усього</c:v>
                </c:pt>
              </c:strCache>
            </c:strRef>
          </c:tx>
          <c:spPr>
            <a:solidFill>
              <a:schemeClr val="bg1">
                <a:lumMod val="65000"/>
              </a:schemeClr>
            </a:solidFill>
            <a:ln>
              <a:noFill/>
            </a:ln>
            <a:effectLst>
              <a:outerShdw blurRad="40000" dist="23000" dir="5400000" rotWithShape="0">
                <a:srgbClr val="000000">
                  <a:alpha val="35000"/>
                </a:srgbClr>
              </a:outerShdw>
            </a:effectLst>
          </c:spPr>
          <c:invertIfNegative val="0"/>
          <c:dLbls>
            <c:dLbl>
              <c:idx val="1"/>
              <c:layout>
                <c:manualLayout>
                  <c:x val="0"/>
                  <c:y val="1.054852320675105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2161-4977-8FE4-E4F062F1456D}"/>
                </c:ext>
              </c:extLst>
            </c:dLbl>
            <c:dLbl>
              <c:idx val="3"/>
              <c:layout>
                <c:manualLayout>
                  <c:x val="-8.1201786439301666E-3"/>
                  <c:y val="7.0323488045007029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161-4977-8FE4-E4F062F1456D}"/>
                </c:ext>
              </c:extLst>
            </c:dLbl>
            <c:dLbl>
              <c:idx val="4"/>
              <c:layout>
                <c:manualLayout>
                  <c:x val="-1.0150223304912708E-2"/>
                  <c:y val="1.054852320675105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2161-4977-8FE4-E4F062F1456D}"/>
                </c:ext>
              </c:extLst>
            </c:dLbl>
            <c:dLbl>
              <c:idx val="7"/>
              <c:layout>
                <c:manualLayout>
                  <c:x val="-6.0901339829477737E-3"/>
                  <c:y val="7.0323488045007029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161-4977-8FE4-E4F062F1456D}"/>
                </c:ext>
              </c:extLst>
            </c:dLbl>
            <c:dLbl>
              <c:idx val="8"/>
              <c:layout>
                <c:manualLayout>
                  <c:x val="-1.0150223304912708E-2"/>
                  <c:y val="-1.2892490539767081E-16"/>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2161-4977-8FE4-E4F062F1456D}"/>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зобовязання!$C$60:$L$60</c:f>
              <c:strCache>
                <c:ptCount val="10"/>
                <c:pt idx="0">
                  <c:v>АТ НАК Нафтогаз України</c:v>
                </c:pt>
                <c:pt idx="1">
                  <c:v>АТ Укрзалізниця</c:v>
                </c:pt>
                <c:pt idx="2">
                  <c:v>ДП "НАЕК "Енергоатом"</c:v>
                </c:pt>
                <c:pt idx="3">
                  <c:v>АТ "ДПЗКУ"</c:v>
                </c:pt>
                <c:pt idx="4">
                  <c:v>НЕК "Укренерго"</c:v>
                </c:pt>
                <c:pt idx="5">
                  <c:v>ПрАТ "Укргідроенерго"</c:v>
                </c:pt>
                <c:pt idx="6">
                  <c:v>ДП НВКГ "Зоря"-"Машпроект"</c:v>
                </c:pt>
                <c:pt idx="7">
                  <c:v>Південмаш</c:v>
                </c:pt>
                <c:pt idx="8">
                  <c:v>ДП "МА "Бориспіль"</c:v>
                </c:pt>
                <c:pt idx="9">
                  <c:v>АТ "Укртрансгаз"</c:v>
                </c:pt>
              </c:strCache>
            </c:strRef>
          </c:cat>
          <c:val>
            <c:numRef>
              <c:f>зобовязання!$C$61:$L$61</c:f>
              <c:numCache>
                <c:formatCode>#\ ##0.0</c:formatCode>
                <c:ptCount val="10"/>
                <c:pt idx="0">
                  <c:v>60.105576999999997</c:v>
                </c:pt>
                <c:pt idx="1">
                  <c:v>39.406100000000002</c:v>
                </c:pt>
                <c:pt idx="2">
                  <c:v>35.660556999999997</c:v>
                </c:pt>
                <c:pt idx="3">
                  <c:v>29.688300000000002</c:v>
                </c:pt>
                <c:pt idx="4">
                  <c:v>17.825153</c:v>
                </c:pt>
                <c:pt idx="5">
                  <c:v>6.2332000000000001</c:v>
                </c:pt>
                <c:pt idx="6">
                  <c:v>4.9603999999999999</c:v>
                </c:pt>
                <c:pt idx="7">
                  <c:v>3.9849999999999999</c:v>
                </c:pt>
                <c:pt idx="8">
                  <c:v>3.0129999999999999</c:v>
                </c:pt>
                <c:pt idx="9">
                  <c:v>1.1870000000000001</c:v>
                </c:pt>
              </c:numCache>
            </c:numRef>
          </c:val>
          <c:extLst>
            <c:ext xmlns:c16="http://schemas.microsoft.com/office/drawing/2014/chart" uri="{C3380CC4-5D6E-409C-BE32-E72D297353CC}">
              <c16:uniqueId val="{00000005-2161-4977-8FE4-E4F062F1456D}"/>
            </c:ext>
          </c:extLst>
        </c:ser>
        <c:ser>
          <c:idx val="1"/>
          <c:order val="1"/>
          <c:tx>
            <c:strRef>
              <c:f>зобовязання!$B$62</c:f>
              <c:strCache>
                <c:ptCount val="1"/>
                <c:pt idx="0">
                  <c:v>Зобов'язання за запозиченнями в іноземних валютах</c:v>
                </c:pt>
              </c:strCache>
            </c:strRef>
          </c:tx>
          <c:spPr>
            <a:solidFill>
              <a:srgbClr val="FFC000"/>
            </a:solidFill>
            <a:ln>
              <a:noFill/>
            </a:ln>
            <a:effectLst>
              <a:outerShdw blurRad="40000" dist="23000" dir="5400000" rotWithShape="0">
                <a:srgbClr val="000000">
                  <a:alpha val="35000"/>
                </a:srgbClr>
              </a:outerShdw>
            </a:effectLst>
          </c:spPr>
          <c:invertIfNegative val="0"/>
          <c:dLbls>
            <c:dLbl>
              <c:idx val="0"/>
              <c:layout>
                <c:manualLayout>
                  <c:x val="4.0600893219650833E-3"/>
                  <c:y val="1.123320819074827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2161-4977-8FE4-E4F062F1456D}"/>
                </c:ext>
              </c:extLst>
            </c:dLbl>
            <c:dLbl>
              <c:idx val="1"/>
              <c:layout>
                <c:manualLayout>
                  <c:x val="6.0901339829475872E-3"/>
                  <c:y val="1.05485232067509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2161-4977-8FE4-E4F062F1456D}"/>
                </c:ext>
              </c:extLst>
            </c:dLbl>
            <c:dLbl>
              <c:idx val="2"/>
              <c:layout>
                <c:manualLayout>
                  <c:x val="4.0600893219650833E-3"/>
                  <c:y val="3.516174402250351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2161-4977-8FE4-E4F062F1456D}"/>
                </c:ext>
              </c:extLst>
            </c:dLbl>
            <c:dLbl>
              <c:idx val="3"/>
              <c:layout>
                <c:manualLayout>
                  <c:x val="8.1201786439301666E-3"/>
                  <c:y val="7.0323488045007029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2161-4977-8FE4-E4F062F1456D}"/>
                </c:ext>
              </c:extLst>
            </c:dLbl>
            <c:dLbl>
              <c:idx val="4"/>
              <c:layout>
                <c:manualLayout>
                  <c:x val="4.0600893219650833E-3"/>
                  <c:y val="1.406469760900140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2161-4977-8FE4-E4F062F1456D}"/>
                </c:ext>
              </c:extLst>
            </c:dLbl>
            <c:dLbl>
              <c:idx val="5"/>
              <c:layout>
                <c:manualLayout>
                  <c:x val="4.0600893219650833E-3"/>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2161-4977-8FE4-E4F062F1456D}"/>
                </c:ext>
              </c:extLst>
            </c:dLbl>
            <c:dLbl>
              <c:idx val="6"/>
              <c:layout>
                <c:manualLayout>
                  <c:x val="6.0901339829476245E-3"/>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2161-4977-8FE4-E4F062F1456D}"/>
                </c:ext>
              </c:extLst>
            </c:dLbl>
            <c:dLbl>
              <c:idx val="7"/>
              <c:layout>
                <c:manualLayout>
                  <c:x val="0"/>
                  <c:y val="7.0323488045007029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2161-4977-8FE4-E4F062F1456D}"/>
                </c:ext>
              </c:extLst>
            </c:dLbl>
            <c:dLbl>
              <c:idx val="8"/>
              <c:layout>
                <c:manualLayout>
                  <c:x val="6.0901339829476245E-3"/>
                  <c:y val="-1.2892490539767081E-16"/>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2161-4977-8FE4-E4F062F1456D}"/>
                </c:ext>
              </c:extLst>
            </c:dLbl>
            <c:dLbl>
              <c:idx val="9"/>
              <c:layout>
                <c:manualLayout>
                  <c:x val="8.0628905462608348E-3"/>
                  <c:y val="7.374631268436578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2161-4977-8FE4-E4F062F1456D}"/>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accent6">
                        <a:lumMod val="7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зобовязання!$C$60:$L$60</c:f>
              <c:strCache>
                <c:ptCount val="10"/>
                <c:pt idx="0">
                  <c:v>АТ НАК Нафтогаз України</c:v>
                </c:pt>
                <c:pt idx="1">
                  <c:v>АТ Укрзалізниця</c:v>
                </c:pt>
                <c:pt idx="2">
                  <c:v>ДП "НАЕК "Енергоатом"</c:v>
                </c:pt>
                <c:pt idx="3">
                  <c:v>АТ "ДПЗКУ"</c:v>
                </c:pt>
                <c:pt idx="4">
                  <c:v>НЕК "Укренерго"</c:v>
                </c:pt>
                <c:pt idx="5">
                  <c:v>ПрАТ "Укргідроенерго"</c:v>
                </c:pt>
                <c:pt idx="6">
                  <c:v>ДП НВКГ "Зоря"-"Машпроект"</c:v>
                </c:pt>
                <c:pt idx="7">
                  <c:v>Південмаш</c:v>
                </c:pt>
                <c:pt idx="8">
                  <c:v>ДП "МА "Бориспіль"</c:v>
                </c:pt>
                <c:pt idx="9">
                  <c:v>АТ "Укртрансгаз"</c:v>
                </c:pt>
              </c:strCache>
            </c:strRef>
          </c:cat>
          <c:val>
            <c:numRef>
              <c:f>зобовязання!$C$62:$L$62</c:f>
              <c:numCache>
                <c:formatCode>#\ ##0.0</c:formatCode>
                <c:ptCount val="10"/>
                <c:pt idx="0">
                  <c:v>50.988</c:v>
                </c:pt>
                <c:pt idx="1">
                  <c:v>31.74</c:v>
                </c:pt>
                <c:pt idx="2">
                  <c:v>32.796900000000001</c:v>
                </c:pt>
                <c:pt idx="3">
                  <c:v>29.688300000000002</c:v>
                </c:pt>
                <c:pt idx="4">
                  <c:v>17.825153</c:v>
                </c:pt>
                <c:pt idx="5">
                  <c:v>5.7831999999999999</c:v>
                </c:pt>
                <c:pt idx="6">
                  <c:v>4.9603999999999999</c:v>
                </c:pt>
                <c:pt idx="7">
                  <c:v>3.9849999999999999</c:v>
                </c:pt>
                <c:pt idx="8">
                  <c:v>3.0129999999999999</c:v>
                </c:pt>
                <c:pt idx="9">
                  <c:v>0.85219999999999996</c:v>
                </c:pt>
              </c:numCache>
            </c:numRef>
          </c:val>
          <c:extLst>
            <c:ext xmlns:c16="http://schemas.microsoft.com/office/drawing/2014/chart" uri="{C3380CC4-5D6E-409C-BE32-E72D297353CC}">
              <c16:uniqueId val="{00000010-2161-4977-8FE4-E4F062F1456D}"/>
            </c:ext>
          </c:extLst>
        </c:ser>
        <c:dLbls>
          <c:showLegendKey val="0"/>
          <c:showVal val="0"/>
          <c:showCatName val="0"/>
          <c:showSerName val="0"/>
          <c:showPercent val="0"/>
          <c:showBubbleSize val="0"/>
        </c:dLbls>
        <c:gapWidth val="219"/>
        <c:axId val="2083118768"/>
        <c:axId val="2083119184"/>
      </c:barChart>
      <c:lineChart>
        <c:grouping val="standard"/>
        <c:varyColors val="0"/>
        <c:ser>
          <c:idx val="2"/>
          <c:order val="2"/>
          <c:tx>
            <c:strRef>
              <c:f>зобовязання!$B$63</c:f>
              <c:strCache>
                <c:ptCount val="1"/>
                <c:pt idx="0">
                  <c:v>Відсоток</c:v>
                </c:pt>
              </c:strCache>
            </c:strRef>
          </c:tx>
          <c:spPr>
            <a:ln w="31750" cap="rnd">
              <a:solidFill>
                <a:schemeClr val="accent3"/>
              </a:solidFill>
              <a:round/>
            </a:ln>
            <a:effectLst>
              <a:outerShdw blurRad="40000" dist="23000" dir="5400000" rotWithShape="0">
                <a:srgbClr val="000000">
                  <a:alpha val="35000"/>
                </a:srgbClr>
              </a:outerShdw>
            </a:effectLst>
          </c:spPr>
          <c:marker>
            <c:symbol val="none"/>
          </c:marker>
          <c:dLbls>
            <c:dLbl>
              <c:idx val="0"/>
              <c:layout>
                <c:manualLayout>
                  <c:x val="-1.6197358704096235E-2"/>
                  <c:y val="-6.397582422450358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2161-4977-8FE4-E4F062F1456D}"/>
                </c:ext>
              </c:extLst>
            </c:dLbl>
            <c:dLbl>
              <c:idx val="1"/>
              <c:layout>
                <c:manualLayout>
                  <c:x val="-4.0600893219650831E-2"/>
                  <c:y val="-2.46132208157524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2161-4977-8FE4-E4F062F1456D}"/>
                </c:ext>
              </c:extLst>
            </c:dLbl>
            <c:dLbl>
              <c:idx val="2"/>
              <c:layout>
                <c:manualLayout>
                  <c:x val="-4.2630937880633414E-2"/>
                  <c:y val="-2.812939521800281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2161-4977-8FE4-E4F062F1456D}"/>
                </c:ext>
              </c:extLst>
            </c:dLbl>
            <c:dLbl>
              <c:idx val="3"/>
              <c:layout>
                <c:manualLayout>
                  <c:x val="-4.0600893219650831E-2"/>
                  <c:y val="-2.46132208157524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4-2161-4977-8FE4-E4F062F1456D}"/>
                </c:ext>
              </c:extLst>
            </c:dLbl>
            <c:dLbl>
              <c:idx val="4"/>
              <c:layout>
                <c:manualLayout>
                  <c:x val="-4.2630937880633372E-2"/>
                  <c:y val="-2.46132208157524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5-2161-4977-8FE4-E4F062F1456D}"/>
                </c:ext>
              </c:extLst>
            </c:dLbl>
            <c:dLbl>
              <c:idx val="5"/>
              <c:layout>
                <c:manualLayout>
                  <c:x val="-3.6540803897685749E-2"/>
                  <c:y val="-2.812939521800284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6-2161-4977-8FE4-E4F062F1456D}"/>
                </c:ext>
              </c:extLst>
            </c:dLbl>
            <c:dLbl>
              <c:idx val="6"/>
              <c:layout>
                <c:manualLayout>
                  <c:x val="-3.8570848558668366E-2"/>
                  <c:y val="-2.812939521800281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7-2161-4977-8FE4-E4F062F1456D}"/>
                </c:ext>
              </c:extLst>
            </c:dLbl>
            <c:dLbl>
              <c:idx val="7"/>
              <c:layout>
                <c:manualLayout>
                  <c:x val="-4.4660909321818647E-2"/>
                  <c:y val="-2.7922721806059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8-2161-4977-8FE4-E4F062F1456D}"/>
                </c:ext>
              </c:extLst>
            </c:dLbl>
            <c:dLbl>
              <c:idx val="8"/>
              <c:layout>
                <c:manualLayout>
                  <c:x val="-4.6691027202598455E-2"/>
                  <c:y val="-2.812939521800281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9-2161-4977-8FE4-E4F062F1456D}"/>
                </c:ext>
              </c:extLst>
            </c:dLbl>
            <c:dLbl>
              <c:idx val="9"/>
              <c:layout>
                <c:manualLayout>
                  <c:x val="-3.2480714575720666E-2"/>
                  <c:y val="2.46132208157524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A-2161-4977-8FE4-E4F062F1456D}"/>
                </c:ext>
              </c:extLst>
            </c:dLbl>
            <c:spPr>
              <a:pattFill prst="pct25">
                <a:fgClr>
                  <a:schemeClr val="accent3">
                    <a:lumMod val="60000"/>
                    <a:lumOff val="40000"/>
                  </a:schemeClr>
                </a:fgClr>
                <a:bgClr>
                  <a:schemeClr val="bg1"/>
                </a:bgClr>
              </a:pattFill>
              <a:ln>
                <a:solidFill>
                  <a:schemeClr val="accent1"/>
                </a:solidFill>
              </a:ln>
              <a:effectLst/>
            </c:spPr>
            <c:txPr>
              <a:bodyPr rot="0" spcFirstLastPara="1" vertOverflow="ellipsis" vert="horz" wrap="none" lIns="38100" tIns="19050" rIns="38100" bIns="19050" anchor="ctr" anchorCtr="1">
                <a:spAutoFit/>
              </a:bodyPr>
              <a:lstStyle/>
              <a:p>
                <a:pPr>
                  <a:defRPr sz="800" b="0" i="0" u="none" strike="noStrike" kern="1200" baseline="0">
                    <a:solidFill>
                      <a:sysClr val="windowText" lastClr="000000"/>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0"/>
              </c:ext>
            </c:extLst>
          </c:dLbls>
          <c:cat>
            <c:strRef>
              <c:f>зобовязання!$C$60:$L$60</c:f>
              <c:strCache>
                <c:ptCount val="10"/>
                <c:pt idx="0">
                  <c:v>АТ НАК Нафтогаз України</c:v>
                </c:pt>
                <c:pt idx="1">
                  <c:v>АТ Укрзалізниця</c:v>
                </c:pt>
                <c:pt idx="2">
                  <c:v>ДП "НАЕК "Енергоатом"</c:v>
                </c:pt>
                <c:pt idx="3">
                  <c:v>АТ "ДПЗКУ"</c:v>
                </c:pt>
                <c:pt idx="4">
                  <c:v>НЕК "Укренерго"</c:v>
                </c:pt>
                <c:pt idx="5">
                  <c:v>ПрАТ "Укргідроенерго"</c:v>
                </c:pt>
                <c:pt idx="6">
                  <c:v>ДП НВКГ "Зоря"-"Машпроект"</c:v>
                </c:pt>
                <c:pt idx="7">
                  <c:v>Південмаш</c:v>
                </c:pt>
                <c:pt idx="8">
                  <c:v>ДП "МА "Бориспіль"</c:v>
                </c:pt>
                <c:pt idx="9">
                  <c:v>АТ "Укртрансгаз"</c:v>
                </c:pt>
              </c:strCache>
            </c:strRef>
          </c:cat>
          <c:val>
            <c:numRef>
              <c:f>зобовязання!$C$63:$L$63</c:f>
              <c:numCache>
                <c:formatCode>0.0%</c:formatCode>
                <c:ptCount val="10"/>
                <c:pt idx="0">
                  <c:v>0.84830730432884793</c:v>
                </c:pt>
                <c:pt idx="1">
                  <c:v>0.80545905329377931</c:v>
                </c:pt>
                <c:pt idx="2">
                  <c:v>0.91969679553799466</c:v>
                </c:pt>
                <c:pt idx="3">
                  <c:v>1</c:v>
                </c:pt>
                <c:pt idx="4">
                  <c:v>1</c:v>
                </c:pt>
                <c:pt idx="5">
                  <c:v>0.92780594237309888</c:v>
                </c:pt>
                <c:pt idx="6">
                  <c:v>1</c:v>
                </c:pt>
                <c:pt idx="7">
                  <c:v>1</c:v>
                </c:pt>
                <c:pt idx="8">
                  <c:v>1</c:v>
                </c:pt>
                <c:pt idx="9">
                  <c:v>0.71794439764111195</c:v>
                </c:pt>
              </c:numCache>
            </c:numRef>
          </c:val>
          <c:smooth val="0"/>
          <c:extLst>
            <c:ext xmlns:c16="http://schemas.microsoft.com/office/drawing/2014/chart" uri="{C3380CC4-5D6E-409C-BE32-E72D297353CC}">
              <c16:uniqueId val="{0000001B-2161-4977-8FE4-E4F062F1456D}"/>
            </c:ext>
          </c:extLst>
        </c:ser>
        <c:dLbls>
          <c:showLegendKey val="0"/>
          <c:showVal val="0"/>
          <c:showCatName val="0"/>
          <c:showSerName val="0"/>
          <c:showPercent val="0"/>
          <c:showBubbleSize val="0"/>
        </c:dLbls>
        <c:marker val="1"/>
        <c:smooth val="0"/>
        <c:axId val="1717089536"/>
        <c:axId val="2037132736"/>
      </c:lineChart>
      <c:catAx>
        <c:axId val="2083118768"/>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ysClr val="windowText" lastClr="000000"/>
                </a:solidFill>
                <a:latin typeface="+mn-lt"/>
                <a:ea typeface="+mn-ea"/>
                <a:cs typeface="+mn-cs"/>
              </a:defRPr>
            </a:pPr>
            <a:endParaRPr lang="uk-UA"/>
          </a:p>
        </c:txPr>
        <c:crossAx val="2083119184"/>
        <c:crosses val="autoZero"/>
        <c:auto val="1"/>
        <c:lblAlgn val="ctr"/>
        <c:lblOffset val="100"/>
        <c:noMultiLvlLbl val="0"/>
      </c:catAx>
      <c:valAx>
        <c:axId val="2083119184"/>
        <c:scaling>
          <c:orientation val="minMax"/>
          <c:max val="70"/>
          <c:min val="0"/>
        </c:scaling>
        <c:delete val="0"/>
        <c:axPos val="l"/>
        <c:majorGridlines>
          <c:spPr>
            <a:ln w="9525" cap="flat" cmpd="sng" algn="ctr">
              <a:solidFill>
                <a:schemeClr val="tx2">
                  <a:lumMod val="15000"/>
                  <a:lumOff val="85000"/>
                </a:schemeClr>
              </a:solidFill>
              <a:round/>
            </a:ln>
            <a:effectLst/>
          </c:spPr>
        </c:majorGridlines>
        <c:title>
          <c:tx>
            <c:rich>
              <a:bodyPr/>
              <a:lstStyle/>
              <a:p>
                <a:pPr>
                  <a:defRPr sz="900" b="0"/>
                </a:pPr>
                <a:r>
                  <a:rPr lang="uk-UA" sz="900" b="0" i="0" baseline="0">
                    <a:effectLst/>
                  </a:rPr>
                  <a:t>млрд гривень</a:t>
                </a:r>
                <a:endParaRPr lang="uk-UA" sz="900" b="0">
                  <a:effectLst/>
                </a:endParaRPr>
              </a:p>
            </c:rich>
          </c:tx>
          <c:layout>
            <c:manualLayout>
              <c:xMode val="edge"/>
              <c:yMode val="edge"/>
              <c:x val="1.4544386588773177E-2"/>
              <c:y val="0.31203487864529922"/>
            </c:manualLayout>
          </c:layout>
          <c:overlay val="0"/>
        </c:title>
        <c:numFmt formatCode="#\ ##0.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uk-UA"/>
          </a:p>
        </c:txPr>
        <c:crossAx val="2083118768"/>
        <c:crosses val="autoZero"/>
        <c:crossBetween val="between"/>
      </c:valAx>
      <c:valAx>
        <c:axId val="2037132736"/>
        <c:scaling>
          <c:orientation val="minMax"/>
        </c:scaling>
        <c:delete val="0"/>
        <c:axPos val="r"/>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uk-UA"/>
          </a:p>
        </c:txPr>
        <c:crossAx val="1717089536"/>
        <c:crosses val="max"/>
        <c:crossBetween val="between"/>
      </c:valAx>
      <c:catAx>
        <c:axId val="1717089536"/>
        <c:scaling>
          <c:orientation val="minMax"/>
        </c:scaling>
        <c:delete val="1"/>
        <c:axPos val="b"/>
        <c:numFmt formatCode="General" sourceLinked="1"/>
        <c:majorTickMark val="none"/>
        <c:minorTickMark val="none"/>
        <c:tickLblPos val="nextTo"/>
        <c:crossAx val="2037132736"/>
        <c:crosses val="autoZero"/>
        <c:auto val="1"/>
        <c:lblAlgn val="ctr"/>
        <c:lblOffset val="100"/>
        <c:noMultiLvlLbl val="0"/>
      </c:catAx>
      <c:spPr>
        <a:noFill/>
        <a:ln>
          <a:noFill/>
        </a:ln>
        <a:effectLst/>
      </c:spPr>
    </c:plotArea>
    <c:legend>
      <c:legendPos val="b"/>
      <c:layout>
        <c:manualLayout>
          <c:xMode val="edge"/>
          <c:yMode val="edge"/>
          <c:x val="0"/>
          <c:y val="0.94691925713489022"/>
          <c:w val="1"/>
          <c:h val="4.6461431259145695E-2"/>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uk-UA"/>
        </a:p>
      </c:txPr>
    </c:legend>
    <c:plotVisOnly val="1"/>
    <c:dispBlanksAs val="gap"/>
    <c:showDLblsOverMax val="0"/>
  </c:chart>
  <c:spPr>
    <a:solidFill>
      <a:schemeClr val="bg1"/>
    </a:solidFill>
    <a:ln>
      <a:solidFill>
        <a:schemeClr val="bg2"/>
      </a:solidFill>
    </a:ln>
    <a:effectLst/>
  </c:spPr>
  <c:txPr>
    <a:bodyPr/>
    <a:lstStyle/>
    <a:p>
      <a:pPr>
        <a:defRPr/>
      </a:pPr>
      <a:endParaRPr lang="uk-UA"/>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1" i="0" u="none" strike="noStrike" kern="1200" cap="none" spc="0" normalizeH="0" baseline="0">
                <a:solidFill>
                  <a:schemeClr val="tx1"/>
                </a:solidFill>
                <a:latin typeface="Times New Roman" panose="02020603050405020304" pitchFamily="18" charset="0"/>
                <a:ea typeface="+mj-ea"/>
                <a:cs typeface="Times New Roman" panose="02020603050405020304" pitchFamily="18" charset="0"/>
              </a:defRPr>
            </a:pPr>
            <a:r>
              <a:rPr lang="ru-RU" sz="1000" b="1">
                <a:solidFill>
                  <a:schemeClr val="tx1"/>
                </a:solidFill>
                <a:latin typeface="+mn-lt"/>
                <a:cs typeface="Times New Roman" panose="02020603050405020304" pitchFamily="18" charset="0"/>
              </a:rPr>
              <a:t>Динаміка заборгованості, що обліковується у</a:t>
            </a:r>
            <a:r>
              <a:rPr lang="ru-RU" sz="1000" b="1" baseline="0">
                <a:solidFill>
                  <a:schemeClr val="tx1"/>
                </a:solidFill>
                <a:latin typeface="+mn-lt"/>
                <a:cs typeface="Times New Roman" panose="02020603050405020304" pitchFamily="18" charset="0"/>
              </a:rPr>
              <a:t> Казначействі</a:t>
            </a:r>
            <a:r>
              <a:rPr lang="ru-RU" sz="1000" b="1">
                <a:solidFill>
                  <a:schemeClr val="tx1"/>
                </a:solidFill>
                <a:latin typeface="+mn-lt"/>
                <a:cs typeface="Times New Roman" panose="02020603050405020304" pitchFamily="18" charset="0"/>
              </a:rPr>
              <a:t> за судовими рішеннями, боржниками за якими є державні підприємства</a:t>
            </a:r>
            <a:r>
              <a:rPr lang="uk-UA" sz="1000" b="1">
                <a:solidFill>
                  <a:schemeClr val="tx1"/>
                </a:solidFill>
                <a:latin typeface="+mn-lt"/>
                <a:cs typeface="Times New Roman" panose="02020603050405020304" pitchFamily="18" charset="0"/>
              </a:rPr>
              <a:t>, </a:t>
            </a:r>
            <a:r>
              <a:rPr lang="ru-RU" sz="1000" b="1">
                <a:solidFill>
                  <a:schemeClr val="tx1"/>
                </a:solidFill>
                <a:latin typeface="+mn-lt"/>
                <a:cs typeface="Times New Roman" panose="02020603050405020304" pitchFamily="18" charset="0"/>
              </a:rPr>
              <a:t> у 2020-2021 роках</a:t>
            </a:r>
            <a:endParaRPr lang="uk-UA" sz="1000" b="1">
              <a:solidFill>
                <a:schemeClr val="tx1"/>
              </a:solidFill>
              <a:latin typeface="+mn-lt"/>
              <a:cs typeface="Times New Roman" panose="02020603050405020304" pitchFamily="18" charset="0"/>
            </a:endParaRPr>
          </a:p>
        </c:rich>
      </c:tx>
      <c:layout>
        <c:manualLayout>
          <c:xMode val="edge"/>
          <c:yMode val="edge"/>
          <c:x val="9.7539561000510464E-2"/>
          <c:y val="1.2970168612191959E-2"/>
        </c:manualLayout>
      </c:layout>
      <c:overlay val="0"/>
      <c:spPr>
        <a:solidFill>
          <a:schemeClr val="bg1"/>
        </a:solidFill>
        <a:ln>
          <a:noFill/>
        </a:ln>
        <a:effectLst/>
      </c:spPr>
      <c:txPr>
        <a:bodyPr rot="0" spcFirstLastPara="1" vertOverflow="ellipsis" vert="horz" wrap="square" anchor="ctr" anchorCtr="1"/>
        <a:lstStyle/>
        <a:p>
          <a:pPr>
            <a:defRPr sz="1000" b="1" i="0" u="none" strike="noStrike" kern="1200" cap="none" spc="0" normalizeH="0" baseline="0">
              <a:solidFill>
                <a:schemeClr val="tx1"/>
              </a:solidFill>
              <a:latin typeface="Times New Roman" panose="02020603050405020304" pitchFamily="18" charset="0"/>
              <a:ea typeface="+mj-ea"/>
              <a:cs typeface="Times New Roman" panose="02020603050405020304" pitchFamily="18" charset="0"/>
            </a:defRPr>
          </a:pPr>
          <a:endParaRPr lang="uk-UA"/>
        </a:p>
      </c:txPr>
    </c:title>
    <c:autoTitleDeleted val="0"/>
    <c:plotArea>
      <c:layout>
        <c:manualLayout>
          <c:layoutTarget val="inner"/>
          <c:xMode val="edge"/>
          <c:yMode val="edge"/>
          <c:x val="6.7172419525513019E-2"/>
          <c:y val="0.19715871254162043"/>
          <c:w val="0.910497089203679"/>
          <c:h val="0.60107212458598058"/>
        </c:manualLayout>
      </c:layout>
      <c:barChart>
        <c:barDir val="col"/>
        <c:grouping val="clustered"/>
        <c:varyColors val="0"/>
        <c:ser>
          <c:idx val="0"/>
          <c:order val="0"/>
          <c:tx>
            <c:strRef>
              <c:f>Аркуш1!$B$1</c:f>
              <c:strCache>
                <c:ptCount val="1"/>
                <c:pt idx="0">
                  <c:v>Кількість судових рішень</c:v>
                </c:pt>
              </c:strCache>
            </c:strRef>
          </c:tx>
          <c:spPr>
            <a:solidFill>
              <a:schemeClr val="bg1">
                <a:lumMod val="65000"/>
              </a:schemeClr>
            </a:solidFill>
            <a:ln>
              <a:solidFill>
                <a:schemeClr val="tx2">
                  <a:lumMod val="60000"/>
                  <a:lumOff val="40000"/>
                </a:schemeClr>
              </a:solidFill>
            </a:ln>
            <a:effectLst/>
          </c:spPr>
          <c:invertIfNegative val="0"/>
          <c:dLbls>
            <c:dLbl>
              <c:idx val="0"/>
              <c:layout>
                <c:manualLayout>
                  <c:x val="0"/>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E84F-48E9-9D10-43DD6CE0CD7C}"/>
                </c:ext>
              </c:extLst>
            </c:dLbl>
            <c:dLbl>
              <c:idx val="1"/>
              <c:layout>
                <c:manualLayout>
                  <c:x val="2.0418732676685818E-3"/>
                  <c:y val="1.61583914704962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E84F-48E9-9D10-43DD6CE0CD7C}"/>
                </c:ext>
              </c:extLst>
            </c:dLbl>
            <c:dLbl>
              <c:idx val="2"/>
              <c:spPr>
                <a:noFill/>
                <a:ln>
                  <a:noFill/>
                </a:ln>
                <a:effectLst/>
              </c:spPr>
              <c:txPr>
                <a:bodyPr rot="0" spcFirstLastPara="1" vertOverflow="ellipsis" horzOverflow="clip" vert="horz" wrap="square" lIns="38100" tIns="19050" rIns="38100" bIns="19050" anchor="ctr" anchorCtr="1">
                  <a:noAutofit/>
                </a:bodyPr>
                <a:lstStyle/>
                <a:p>
                  <a:pPr>
                    <a:defRPr sz="900" b="0" i="0" u="none" strike="noStrike" kern="1200" baseline="0">
                      <a:solidFill>
                        <a:schemeClr val="tx1"/>
                      </a:solidFill>
                      <a:latin typeface="+mn-lt"/>
                      <a:ea typeface="+mn-ea"/>
                      <a:cs typeface="+mn-cs"/>
                    </a:defRPr>
                  </a:pPr>
                  <a:endParaRPr lang="uk-UA"/>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a:noFill/>
                    <a:ln>
                      <a:noFill/>
                    </a:ln>
                  </c15:spPr>
                </c:ext>
                <c:ext xmlns:c16="http://schemas.microsoft.com/office/drawing/2014/chart" uri="{C3380CC4-5D6E-409C-BE32-E72D297353CC}">
                  <c16:uniqueId val="{00000002-E84F-48E9-9D10-43DD6CE0CD7C}"/>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Аркуш1!$A$2:$A$4</c:f>
              <c:strCache>
                <c:ptCount val="3"/>
                <c:pt idx="0">
                  <c:v>Станом на 01.01.2020</c:v>
                </c:pt>
                <c:pt idx="1">
                  <c:v>Станом на 01.01.2021</c:v>
                </c:pt>
                <c:pt idx="2">
                  <c:v>Станом на 27.08.2021</c:v>
                </c:pt>
              </c:strCache>
            </c:strRef>
          </c:cat>
          <c:val>
            <c:numRef>
              <c:f>Аркуш1!$B$2:$B$4</c:f>
              <c:numCache>
                <c:formatCode>0</c:formatCode>
                <c:ptCount val="3"/>
                <c:pt idx="0">
                  <c:v>2063</c:v>
                </c:pt>
                <c:pt idx="1">
                  <c:v>2547</c:v>
                </c:pt>
                <c:pt idx="2">
                  <c:v>2808</c:v>
                </c:pt>
              </c:numCache>
            </c:numRef>
          </c:val>
          <c:extLst>
            <c:ext xmlns:c16="http://schemas.microsoft.com/office/drawing/2014/chart" uri="{C3380CC4-5D6E-409C-BE32-E72D297353CC}">
              <c16:uniqueId val="{00000003-E84F-48E9-9D10-43DD6CE0CD7C}"/>
            </c:ext>
          </c:extLst>
        </c:ser>
        <c:dLbls>
          <c:showLegendKey val="0"/>
          <c:showVal val="1"/>
          <c:showCatName val="0"/>
          <c:showSerName val="0"/>
          <c:showPercent val="0"/>
          <c:showBubbleSize val="0"/>
        </c:dLbls>
        <c:gapWidth val="150"/>
        <c:axId val="1384464655"/>
        <c:axId val="1384466319"/>
      </c:barChart>
      <c:lineChart>
        <c:grouping val="stacked"/>
        <c:varyColors val="0"/>
        <c:ser>
          <c:idx val="1"/>
          <c:order val="1"/>
          <c:tx>
            <c:strRef>
              <c:f>Аркуш1!$C$1</c:f>
              <c:strCache>
                <c:ptCount val="1"/>
                <c:pt idx="0">
                  <c:v>Сума витрат на погашення заборгованості за судовими рішеннями, млн гривень</c:v>
                </c:pt>
              </c:strCache>
            </c:strRef>
          </c:tx>
          <c:spPr>
            <a:ln w="31750" cap="rnd">
              <a:solidFill>
                <a:srgbClr val="FF0000"/>
              </a:solidFill>
              <a:round/>
            </a:ln>
            <a:effectLst/>
          </c:spPr>
          <c:marker>
            <c:symbol val="circle"/>
            <c:size val="6"/>
            <c:spPr>
              <a:solidFill>
                <a:schemeClr val="lt1"/>
              </a:solidFill>
              <a:ln w="15875">
                <a:solidFill>
                  <a:srgbClr val="FF0000"/>
                </a:solidFill>
                <a:round/>
              </a:ln>
              <a:effectLst/>
            </c:spPr>
          </c:marker>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mn-lt"/>
                      <a:ea typeface="+mn-ea"/>
                      <a:cs typeface="+mn-cs"/>
                    </a:defRPr>
                  </a:pPr>
                  <a:endParaRPr lang="uk-UA"/>
                </a:p>
              </c:txPr>
              <c:showLegendKey val="0"/>
              <c:showVal val="1"/>
              <c:showCatName val="0"/>
              <c:showSerName val="0"/>
              <c:showPercent val="0"/>
              <c:showBubbleSize val="0"/>
              <c:extLst>
                <c:ext xmlns:c16="http://schemas.microsoft.com/office/drawing/2014/chart" uri="{C3380CC4-5D6E-409C-BE32-E72D297353CC}">
                  <c16:uniqueId val="{00000004-E84F-48E9-9D10-43DD6CE0CD7C}"/>
                </c:ext>
              </c:extLst>
            </c:dLbl>
            <c:dLbl>
              <c:idx val="1"/>
              <c:layout>
                <c:manualLayout>
                  <c:x val="-5.1046452271567129E-2"/>
                  <c:y val="-3.2051282051282111E-2"/>
                </c:manualLayout>
              </c:layout>
              <c:tx>
                <c:rich>
                  <a:bodyPr/>
                  <a:lstStyle/>
                  <a:p>
                    <a:fld id="{4FFCF6A8-B7C0-467D-99D0-3D0F361F9C7F}" type="VALUE">
                      <a:rPr lang="en-US" b="1"/>
                      <a:pPr/>
                      <a:t>[ЗНАЧЕННЯ]</a:t>
                    </a:fld>
                    <a:endParaRPr lang="uk-UA"/>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5-E84F-48E9-9D10-43DD6CE0CD7C}"/>
                </c:ext>
              </c:extLst>
            </c:dLbl>
            <c:dLbl>
              <c:idx val="2"/>
              <c:tx>
                <c:rich>
                  <a:bodyPr/>
                  <a:lstStyle/>
                  <a:p>
                    <a:fld id="{32DA268D-F5EA-40E1-8AA5-D800784EE2B1}" type="VALUE">
                      <a:rPr lang="en-US" b="1"/>
                      <a:pPr/>
                      <a:t>[ЗНАЧЕННЯ]</a:t>
                    </a:fld>
                    <a:endParaRPr lang="uk-UA"/>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6-E84F-48E9-9D10-43DD6CE0CD7C}"/>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Аркуш1!$A$2:$A$4</c:f>
              <c:strCache>
                <c:ptCount val="3"/>
                <c:pt idx="0">
                  <c:v>Станом на 01.01.2020</c:v>
                </c:pt>
                <c:pt idx="1">
                  <c:v>Станом на 01.01.2021</c:v>
                </c:pt>
                <c:pt idx="2">
                  <c:v>Станом на 27.08.2021</c:v>
                </c:pt>
              </c:strCache>
            </c:strRef>
          </c:cat>
          <c:val>
            <c:numRef>
              <c:f>Аркуш1!$C$2:$C$4</c:f>
              <c:numCache>
                <c:formatCode>0.0</c:formatCode>
                <c:ptCount val="3"/>
                <c:pt idx="0">
                  <c:v>897.74953919000006</c:v>
                </c:pt>
                <c:pt idx="1">
                  <c:v>3072.91342983</c:v>
                </c:pt>
                <c:pt idx="2">
                  <c:v>4134.02116664</c:v>
                </c:pt>
              </c:numCache>
            </c:numRef>
          </c:val>
          <c:smooth val="0"/>
          <c:extLst>
            <c:ext xmlns:c16="http://schemas.microsoft.com/office/drawing/2014/chart" uri="{C3380CC4-5D6E-409C-BE32-E72D297353CC}">
              <c16:uniqueId val="{00000007-E84F-48E9-9D10-43DD6CE0CD7C}"/>
            </c:ext>
          </c:extLst>
        </c:ser>
        <c:dLbls>
          <c:showLegendKey val="0"/>
          <c:showVal val="0"/>
          <c:showCatName val="0"/>
          <c:showSerName val="0"/>
          <c:showPercent val="0"/>
          <c:showBubbleSize val="0"/>
        </c:dLbls>
        <c:marker val="1"/>
        <c:smooth val="0"/>
        <c:axId val="1384464655"/>
        <c:axId val="1384466319"/>
      </c:lineChart>
      <c:valAx>
        <c:axId val="1384466319"/>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0"/>
        <c:majorTickMark val="out"/>
        <c:minorTickMark val="none"/>
        <c:tickLblPos val="nextTo"/>
        <c:spPr>
          <a:noFill/>
          <a:ln>
            <a:noFill/>
          </a:ln>
          <a:effectLst/>
        </c:spPr>
        <c:txPr>
          <a:bodyPr rot="0" spcFirstLastPara="1" vertOverflow="ellipsis" wrap="square" anchor="ctr" anchorCtr="1"/>
          <a:lstStyle/>
          <a:p>
            <a:pPr>
              <a:defRPr sz="900" b="0" i="0" u="none" strike="noStrike" kern="1200" baseline="0">
                <a:solidFill>
                  <a:schemeClr val="dk1">
                    <a:lumMod val="65000"/>
                    <a:lumOff val="35000"/>
                  </a:schemeClr>
                </a:solidFill>
                <a:latin typeface="+mn-lt"/>
                <a:ea typeface="+mn-ea"/>
                <a:cs typeface="+mn-cs"/>
              </a:defRPr>
            </a:pPr>
            <a:endParaRPr lang="uk-UA"/>
          </a:p>
        </c:txPr>
        <c:crossAx val="1384464655"/>
        <c:crosses val="autoZero"/>
        <c:crossBetween val="between"/>
      </c:valAx>
      <c:catAx>
        <c:axId val="1384464655"/>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0"/>
        <c:majorTickMark val="out"/>
        <c:minorTickMark val="none"/>
        <c:tickLblPos val="nextTo"/>
        <c:spPr>
          <a:noFill/>
          <a:ln w="9525" cap="flat" cmpd="sng" algn="ctr">
            <a:solidFill>
              <a:schemeClr val="tx2">
                <a:lumMod val="60000"/>
                <a:lumOff val="40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uk-UA"/>
          </a:p>
        </c:txPr>
        <c:crossAx val="1384466319"/>
        <c:crosses val="autoZero"/>
        <c:auto val="0"/>
        <c:lblAlgn val="ctr"/>
        <c:lblOffset val="100"/>
        <c:noMultiLvlLbl val="0"/>
      </c:catAx>
      <c:spPr>
        <a:pattFill prst="ltDnDiag">
          <a:fgClr>
            <a:schemeClr val="dk1">
              <a:lumMod val="15000"/>
              <a:lumOff val="85000"/>
            </a:schemeClr>
          </a:fgClr>
          <a:bgClr>
            <a:schemeClr val="lt1"/>
          </a:bgClr>
        </a:pattFill>
        <a:ln>
          <a:noFill/>
        </a:ln>
        <a:effectLst/>
      </c:spPr>
    </c:plotArea>
    <c:legend>
      <c:legendPos val="b"/>
      <c:layout>
        <c:manualLayout>
          <c:xMode val="edge"/>
          <c:yMode val="edge"/>
          <c:x val="3.6895981790339538E-2"/>
          <c:y val="0.88456675434993493"/>
          <c:w val="0.9404181892001624"/>
          <c:h val="9.607183169461330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uk-UA"/>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uk-UA"/>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4653711400348712"/>
          <c:y val="5.1450131233595792E-2"/>
          <c:w val="0.83870056217857669"/>
          <c:h val="0.76053195642406257"/>
        </c:manualLayout>
      </c:layout>
      <c:barChart>
        <c:barDir val="col"/>
        <c:grouping val="clustered"/>
        <c:varyColors val="0"/>
        <c:ser>
          <c:idx val="0"/>
          <c:order val="0"/>
          <c:tx>
            <c:strRef>
              <c:f>Підсумки!$A$226</c:f>
              <c:strCache>
                <c:ptCount val="1"/>
                <c:pt idx="0">
                  <c:v>Базовий сценарій</c:v>
                </c:pt>
              </c:strCache>
            </c:strRef>
          </c:tx>
          <c:spPr>
            <a:solidFill>
              <a:srgbClr val="FFC000"/>
            </a:solidFill>
            <a:ln>
              <a:noFill/>
            </a:ln>
            <a:effectLst/>
          </c:spPr>
          <c:invertIfNegative val="0"/>
          <c:cat>
            <c:numRef>
              <c:f>Підсумки!$C$225:$I$225</c:f>
              <c:numCache>
                <c:formatCode>General</c:formatCode>
                <c:ptCount val="7"/>
                <c:pt idx="0">
                  <c:v>2018</c:v>
                </c:pt>
                <c:pt idx="1">
                  <c:v>2019</c:v>
                </c:pt>
                <c:pt idx="2">
                  <c:v>2020</c:v>
                </c:pt>
                <c:pt idx="3">
                  <c:v>2021</c:v>
                </c:pt>
                <c:pt idx="4">
                  <c:v>2022</c:v>
                </c:pt>
                <c:pt idx="5">
                  <c:v>2023</c:v>
                </c:pt>
                <c:pt idx="6">
                  <c:v>2024</c:v>
                </c:pt>
              </c:numCache>
            </c:numRef>
          </c:cat>
          <c:val>
            <c:numRef>
              <c:f>Підсумки!$C$226:$I$226</c:f>
              <c:numCache>
                <c:formatCode>#\ ##0;\(#\ ##0\)</c:formatCode>
                <c:ptCount val="7"/>
                <c:pt idx="0">
                  <c:v>13613.258000000005</c:v>
                </c:pt>
                <c:pt idx="1">
                  <c:v>50658.210999999996</c:v>
                </c:pt>
                <c:pt idx="2">
                  <c:v>-18001.700999999997</c:v>
                </c:pt>
                <c:pt idx="3">
                  <c:v>7827.0470789439769</c:v>
                </c:pt>
                <c:pt idx="4">
                  <c:v>15800.732072443021</c:v>
                </c:pt>
                <c:pt idx="5">
                  <c:v>15806.103807535796</c:v>
                </c:pt>
                <c:pt idx="6">
                  <c:v>20214.675780896363</c:v>
                </c:pt>
              </c:numCache>
            </c:numRef>
          </c:val>
          <c:extLst>
            <c:ext xmlns:c16="http://schemas.microsoft.com/office/drawing/2014/chart" uri="{C3380CC4-5D6E-409C-BE32-E72D297353CC}">
              <c16:uniqueId val="{00000000-D8A2-491B-B2C6-3D32EFF9B0C0}"/>
            </c:ext>
          </c:extLst>
        </c:ser>
        <c:ser>
          <c:idx val="1"/>
          <c:order val="1"/>
          <c:tx>
            <c:strRef>
              <c:f>Підсумки!$A$227</c:f>
              <c:strCache>
                <c:ptCount val="1"/>
                <c:pt idx="0">
                  <c:v>Песимістичний сценарій</c:v>
                </c:pt>
              </c:strCache>
            </c:strRef>
          </c:tx>
          <c:spPr>
            <a:solidFill>
              <a:schemeClr val="bg1">
                <a:lumMod val="50000"/>
              </a:schemeClr>
            </a:solidFill>
            <a:ln>
              <a:noFill/>
            </a:ln>
            <a:effectLst/>
          </c:spPr>
          <c:invertIfNegative val="0"/>
          <c:cat>
            <c:numRef>
              <c:f>Підсумки!$C$225:$I$225</c:f>
              <c:numCache>
                <c:formatCode>General</c:formatCode>
                <c:ptCount val="7"/>
                <c:pt idx="0">
                  <c:v>2018</c:v>
                </c:pt>
                <c:pt idx="1">
                  <c:v>2019</c:v>
                </c:pt>
                <c:pt idx="2">
                  <c:v>2020</c:v>
                </c:pt>
                <c:pt idx="3">
                  <c:v>2021</c:v>
                </c:pt>
                <c:pt idx="4">
                  <c:v>2022</c:v>
                </c:pt>
                <c:pt idx="5">
                  <c:v>2023</c:v>
                </c:pt>
                <c:pt idx="6">
                  <c:v>2024</c:v>
                </c:pt>
              </c:numCache>
            </c:numRef>
          </c:cat>
          <c:val>
            <c:numRef>
              <c:f>Підсумки!$C$227:$I$227</c:f>
              <c:numCache>
                <c:formatCode>#\ ##0;\(#\ ##0\)</c:formatCode>
                <c:ptCount val="7"/>
                <c:pt idx="0">
                  <c:v>13613.258000000005</c:v>
                </c:pt>
                <c:pt idx="1">
                  <c:v>50658.210999999996</c:v>
                </c:pt>
                <c:pt idx="2">
                  <c:v>-18001.700999999997</c:v>
                </c:pt>
                <c:pt idx="3">
                  <c:v>-71.611395570645442</c:v>
                </c:pt>
                <c:pt idx="4">
                  <c:v>-3064.7859438669489</c:v>
                </c:pt>
                <c:pt idx="5">
                  <c:v>-5754.675740192436</c:v>
                </c:pt>
                <c:pt idx="6">
                  <c:v>-7086.4147470275402</c:v>
                </c:pt>
              </c:numCache>
            </c:numRef>
          </c:val>
          <c:extLst>
            <c:ext xmlns:c16="http://schemas.microsoft.com/office/drawing/2014/chart" uri="{C3380CC4-5D6E-409C-BE32-E72D297353CC}">
              <c16:uniqueId val="{00000001-D8A2-491B-B2C6-3D32EFF9B0C0}"/>
            </c:ext>
          </c:extLst>
        </c:ser>
        <c:dLbls>
          <c:showLegendKey val="0"/>
          <c:showVal val="0"/>
          <c:showCatName val="0"/>
          <c:showSerName val="0"/>
          <c:showPercent val="0"/>
          <c:showBubbleSize val="0"/>
        </c:dLbls>
        <c:gapWidth val="75"/>
        <c:axId val="378388024"/>
        <c:axId val="378388416"/>
      </c:barChart>
      <c:catAx>
        <c:axId val="378388024"/>
        <c:scaling>
          <c:orientation val="minMax"/>
        </c:scaling>
        <c:delete val="0"/>
        <c:axPos val="b"/>
        <c:numFmt formatCode="General" sourceLinked="1"/>
        <c:majorTickMark val="none"/>
        <c:minorTickMark val="none"/>
        <c:tickLblPos val="low"/>
        <c:spPr>
          <a:noFill/>
          <a:ln w="9525" cap="flat" cmpd="sng" algn="ctr">
            <a:solidFill>
              <a:schemeClr val="bg1">
                <a:lumMod val="65000"/>
              </a:schemeClr>
            </a:solidFill>
            <a:round/>
          </a:ln>
          <a:effectLst/>
        </c:spPr>
        <c:txPr>
          <a:bodyPr rot="-60000000" vert="horz"/>
          <a:lstStyle/>
          <a:p>
            <a:pPr>
              <a:defRPr/>
            </a:pPr>
            <a:endParaRPr lang="uk-UA"/>
          </a:p>
        </c:txPr>
        <c:crossAx val="378388416"/>
        <c:crosses val="autoZero"/>
        <c:auto val="1"/>
        <c:lblAlgn val="ctr"/>
        <c:lblOffset val="100"/>
        <c:noMultiLvlLbl val="0"/>
      </c:catAx>
      <c:valAx>
        <c:axId val="378388416"/>
        <c:scaling>
          <c:orientation val="minMax"/>
          <c:max val="55000"/>
        </c:scaling>
        <c:delete val="0"/>
        <c:axPos val="l"/>
        <c:title>
          <c:tx>
            <c:rich>
              <a:bodyPr/>
              <a:lstStyle/>
              <a:p>
                <a:pPr>
                  <a:defRPr>
                    <a:solidFill>
                      <a:schemeClr val="tx1">
                        <a:lumMod val="65000"/>
                        <a:lumOff val="35000"/>
                      </a:schemeClr>
                    </a:solidFill>
                  </a:defRPr>
                </a:pPr>
                <a:r>
                  <a:rPr lang="uk-UA" sz="900" b="0" i="0" baseline="0">
                    <a:solidFill>
                      <a:schemeClr val="tx1">
                        <a:lumMod val="65000"/>
                        <a:lumOff val="35000"/>
                      </a:schemeClr>
                    </a:solidFill>
                    <a:effectLst/>
                  </a:rPr>
                  <a:t>млн гривень</a:t>
                </a:r>
                <a:endParaRPr lang="uk-UA" sz="900">
                  <a:solidFill>
                    <a:schemeClr val="tx1">
                      <a:lumMod val="65000"/>
                      <a:lumOff val="35000"/>
                    </a:schemeClr>
                  </a:solidFill>
                  <a:effectLst/>
                </a:endParaRPr>
              </a:p>
            </c:rich>
          </c:tx>
          <c:overlay val="0"/>
        </c:title>
        <c:numFmt formatCode="#\ ##0;\(#\ ##0\)" sourceLinked="1"/>
        <c:majorTickMark val="none"/>
        <c:minorTickMark val="none"/>
        <c:tickLblPos val="nextTo"/>
        <c:spPr>
          <a:noFill/>
          <a:ln>
            <a:solidFill>
              <a:schemeClr val="bg1">
                <a:lumMod val="65000"/>
              </a:schemeClr>
            </a:solidFill>
          </a:ln>
          <a:effectLst/>
        </c:spPr>
        <c:txPr>
          <a:bodyPr rot="-60000000" vert="horz"/>
          <a:lstStyle/>
          <a:p>
            <a:pPr>
              <a:defRPr/>
            </a:pPr>
            <a:endParaRPr lang="uk-UA"/>
          </a:p>
        </c:txPr>
        <c:crossAx val="378388024"/>
        <c:crosses val="autoZero"/>
        <c:crossBetween val="between"/>
      </c:valAx>
      <c:spPr>
        <a:noFill/>
        <a:ln>
          <a:solidFill>
            <a:schemeClr val="bg1">
              <a:lumMod val="65000"/>
            </a:schemeClr>
          </a:solidFill>
        </a:ln>
        <a:effectLst/>
      </c:spPr>
    </c:plotArea>
    <c:legend>
      <c:legendPos val="b"/>
      <c:layout>
        <c:manualLayout>
          <c:xMode val="edge"/>
          <c:yMode val="edge"/>
          <c:x val="0.11649637022796899"/>
          <c:y val="0.91257349081364825"/>
          <c:w val="0.85170384220367101"/>
          <c:h val="8.7426509186351711E-2"/>
        </c:manualLayout>
      </c:layout>
      <c:overlay val="0"/>
      <c:spPr>
        <a:noFill/>
        <a:ln>
          <a:noFill/>
        </a:ln>
        <a:effectLst/>
      </c:spPr>
      <c:txPr>
        <a:bodyPr rot="0" vert="horz"/>
        <a:lstStyle/>
        <a:p>
          <a:pPr>
            <a:defRPr/>
          </a:pPr>
          <a:endParaRPr lang="uk-UA"/>
        </a:p>
      </c:txPr>
    </c:legend>
    <c:plotVisOnly val="1"/>
    <c:dispBlanksAs val="gap"/>
    <c:showDLblsOverMax val="0"/>
  </c:chart>
  <c:spPr>
    <a:solidFill>
      <a:schemeClr val="bg1"/>
    </a:solidFill>
    <a:ln w="9525" cap="flat" cmpd="sng" algn="ctr">
      <a:noFill/>
      <a:round/>
    </a:ln>
    <a:effectLst/>
  </c:spPr>
  <c:txPr>
    <a:bodyPr/>
    <a:lstStyle/>
    <a:p>
      <a:pPr>
        <a:defRPr sz="900"/>
      </a:pPr>
      <a:endParaRPr lang="uk-UA"/>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424012072626013"/>
          <c:y val="0.10073260073260074"/>
          <c:w val="0.88203115879048888"/>
          <c:h val="0.53229500158634013"/>
        </c:manualLayout>
      </c:layout>
      <c:barChart>
        <c:barDir val="col"/>
        <c:grouping val="clustered"/>
        <c:varyColors val="0"/>
        <c:ser>
          <c:idx val="0"/>
          <c:order val="0"/>
          <c:tx>
            <c:strRef>
              <c:f>Підсумки!$A$125</c:f>
              <c:strCache>
                <c:ptCount val="1"/>
                <c:pt idx="0">
                  <c:v>Базовий сценарій</c:v>
                </c:pt>
              </c:strCache>
            </c:strRef>
          </c:tx>
          <c:spPr>
            <a:solidFill>
              <a:srgbClr val="FFC000"/>
            </a:solidFill>
            <a:ln>
              <a:noFill/>
            </a:ln>
            <a:effectLst/>
          </c:spPr>
          <c:invertIfNegative val="0"/>
          <c:cat>
            <c:numRef>
              <c:f>Підсумки!$C$124:$I$124</c:f>
              <c:numCache>
                <c:formatCode>General</c:formatCode>
                <c:ptCount val="7"/>
                <c:pt idx="0">
                  <c:v>2018</c:v>
                </c:pt>
                <c:pt idx="1">
                  <c:v>2019</c:v>
                </c:pt>
                <c:pt idx="2">
                  <c:v>2020</c:v>
                </c:pt>
                <c:pt idx="3">
                  <c:v>2021</c:v>
                </c:pt>
                <c:pt idx="4">
                  <c:v>2022</c:v>
                </c:pt>
                <c:pt idx="5">
                  <c:v>2023</c:v>
                </c:pt>
                <c:pt idx="6">
                  <c:v>2024</c:v>
                </c:pt>
              </c:numCache>
            </c:numRef>
          </c:cat>
          <c:val>
            <c:numRef>
              <c:f>Підсумки!$C$125:$I$125</c:f>
              <c:numCache>
                <c:formatCode>0.0%</c:formatCode>
                <c:ptCount val="7"/>
                <c:pt idx="0">
                  <c:v>0.19461887142443443</c:v>
                </c:pt>
                <c:pt idx="1">
                  <c:v>0.24659059919428192</c:v>
                </c:pt>
                <c:pt idx="2">
                  <c:v>0.23071377511909297</c:v>
                </c:pt>
                <c:pt idx="3">
                  <c:v>0.24337879204633273</c:v>
                </c:pt>
                <c:pt idx="4">
                  <c:v>0.2380652699950912</c:v>
                </c:pt>
                <c:pt idx="5">
                  <c:v>0.22100163815108967</c:v>
                </c:pt>
                <c:pt idx="6">
                  <c:v>0.18312211874483039</c:v>
                </c:pt>
              </c:numCache>
            </c:numRef>
          </c:val>
          <c:extLst>
            <c:ext xmlns:c16="http://schemas.microsoft.com/office/drawing/2014/chart" uri="{C3380CC4-5D6E-409C-BE32-E72D297353CC}">
              <c16:uniqueId val="{00000000-2A2C-4B2A-9555-F5091090296C}"/>
            </c:ext>
          </c:extLst>
        </c:ser>
        <c:ser>
          <c:idx val="1"/>
          <c:order val="1"/>
          <c:tx>
            <c:strRef>
              <c:f>Підсумки!$A$126</c:f>
              <c:strCache>
                <c:ptCount val="1"/>
                <c:pt idx="0">
                  <c:v>Песимістичний сценарій</c:v>
                </c:pt>
              </c:strCache>
            </c:strRef>
          </c:tx>
          <c:spPr>
            <a:solidFill>
              <a:schemeClr val="bg1">
                <a:lumMod val="50000"/>
              </a:schemeClr>
            </a:solidFill>
            <a:ln>
              <a:noFill/>
            </a:ln>
            <a:effectLst/>
          </c:spPr>
          <c:invertIfNegative val="0"/>
          <c:cat>
            <c:numRef>
              <c:f>Підсумки!$C$124:$I$124</c:f>
              <c:numCache>
                <c:formatCode>General</c:formatCode>
                <c:ptCount val="7"/>
                <c:pt idx="0">
                  <c:v>2018</c:v>
                </c:pt>
                <c:pt idx="1">
                  <c:v>2019</c:v>
                </c:pt>
                <c:pt idx="2">
                  <c:v>2020</c:v>
                </c:pt>
                <c:pt idx="3">
                  <c:v>2021</c:v>
                </c:pt>
                <c:pt idx="4">
                  <c:v>2022</c:v>
                </c:pt>
                <c:pt idx="5">
                  <c:v>2023</c:v>
                </c:pt>
                <c:pt idx="6">
                  <c:v>2024</c:v>
                </c:pt>
              </c:numCache>
            </c:numRef>
          </c:cat>
          <c:val>
            <c:numRef>
              <c:f>Підсумки!$C$126:$I$126</c:f>
              <c:numCache>
                <c:formatCode>0.0%</c:formatCode>
                <c:ptCount val="7"/>
                <c:pt idx="0">
                  <c:v>0.19461887142443443</c:v>
                </c:pt>
                <c:pt idx="1">
                  <c:v>0.24659059919428192</c:v>
                </c:pt>
                <c:pt idx="2">
                  <c:v>0.23071377511909297</c:v>
                </c:pt>
                <c:pt idx="3">
                  <c:v>0.23975204488147389</c:v>
                </c:pt>
                <c:pt idx="4">
                  <c:v>0.23222790637814811</c:v>
                </c:pt>
                <c:pt idx="5">
                  <c:v>0.22023162358580486</c:v>
                </c:pt>
                <c:pt idx="6">
                  <c:v>0.17375275368646467</c:v>
                </c:pt>
              </c:numCache>
            </c:numRef>
          </c:val>
          <c:extLst>
            <c:ext xmlns:c16="http://schemas.microsoft.com/office/drawing/2014/chart" uri="{C3380CC4-5D6E-409C-BE32-E72D297353CC}">
              <c16:uniqueId val="{00000001-2A2C-4B2A-9555-F5091090296C}"/>
            </c:ext>
          </c:extLst>
        </c:ser>
        <c:dLbls>
          <c:showLegendKey val="0"/>
          <c:showVal val="0"/>
          <c:showCatName val="0"/>
          <c:showSerName val="0"/>
          <c:showPercent val="0"/>
          <c:showBubbleSize val="0"/>
        </c:dLbls>
        <c:gapWidth val="75"/>
        <c:axId val="378389200"/>
        <c:axId val="378394688"/>
      </c:barChart>
      <c:catAx>
        <c:axId val="378389200"/>
        <c:scaling>
          <c:orientation val="minMax"/>
        </c:scaling>
        <c:delete val="0"/>
        <c:axPos val="b"/>
        <c:numFmt formatCode="General" sourceLinked="1"/>
        <c:majorTickMark val="none"/>
        <c:minorTickMark val="none"/>
        <c:tickLblPos val="low"/>
        <c:spPr>
          <a:noFill/>
          <a:ln w="9525" cap="flat" cmpd="sng" algn="ctr">
            <a:solidFill>
              <a:schemeClr val="bg1">
                <a:lumMod val="6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378394688"/>
        <c:crosses val="autoZero"/>
        <c:auto val="1"/>
        <c:lblAlgn val="ctr"/>
        <c:lblOffset val="100"/>
        <c:noMultiLvlLbl val="0"/>
      </c:catAx>
      <c:valAx>
        <c:axId val="378394688"/>
        <c:scaling>
          <c:orientation val="minMax"/>
          <c:max val="0.30000000000000004"/>
        </c:scaling>
        <c:delete val="0"/>
        <c:axPos val="l"/>
        <c:numFmt formatCode="0.0%" sourceLinked="0"/>
        <c:majorTickMark val="none"/>
        <c:minorTickMark val="none"/>
        <c:tickLblPos val="nextTo"/>
        <c:spPr>
          <a:noFill/>
          <a:ln>
            <a:solidFill>
              <a:schemeClr val="bg1">
                <a:lumMod val="65000"/>
              </a:schemeClr>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uk-UA"/>
          </a:p>
        </c:txPr>
        <c:crossAx val="378389200"/>
        <c:crosses val="autoZero"/>
        <c:crossBetween val="between"/>
      </c:valAx>
      <c:spPr>
        <a:noFill/>
        <a:ln>
          <a:solidFill>
            <a:schemeClr val="bg1">
              <a:lumMod val="65000"/>
            </a:schemeClr>
          </a:solidFill>
        </a:ln>
        <a:effectLst/>
      </c:spPr>
    </c:plotArea>
    <c:legend>
      <c:legendPos val="b"/>
      <c:layout>
        <c:manualLayout>
          <c:xMode val="edge"/>
          <c:yMode val="edge"/>
          <c:x val="3.6617632433507595E-2"/>
          <c:y val="0.79052089642640821"/>
          <c:w val="0.96245940838943733"/>
          <c:h val="0.15453404862853681"/>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noFill/>
      <a:round/>
    </a:ln>
    <a:effectLst/>
  </c:spPr>
  <c:txPr>
    <a:bodyPr/>
    <a:lstStyle/>
    <a:p>
      <a:pPr>
        <a:defRPr/>
      </a:pPr>
      <a:endParaRPr lang="uk-UA"/>
    </a:p>
  </c:tx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9345910969049657E-2"/>
          <c:y val="9.0090090090090086E-2"/>
          <c:w val="0.91415243886593389"/>
          <c:h val="0.55789742498403916"/>
        </c:manualLayout>
      </c:layout>
      <c:barChart>
        <c:barDir val="col"/>
        <c:grouping val="clustered"/>
        <c:varyColors val="0"/>
        <c:ser>
          <c:idx val="0"/>
          <c:order val="0"/>
          <c:tx>
            <c:strRef>
              <c:f>Підсумки!$A$176</c:f>
              <c:strCache>
                <c:ptCount val="1"/>
                <c:pt idx="0">
                  <c:v>Базовий сценарій</c:v>
                </c:pt>
              </c:strCache>
            </c:strRef>
          </c:tx>
          <c:spPr>
            <a:solidFill>
              <a:srgbClr val="FFC000"/>
            </a:solidFill>
            <a:ln>
              <a:noFill/>
            </a:ln>
            <a:effectLst/>
          </c:spPr>
          <c:invertIfNegative val="0"/>
          <c:cat>
            <c:numRef>
              <c:f>Підсумки!$C$175:$I$175</c:f>
              <c:numCache>
                <c:formatCode>General</c:formatCode>
                <c:ptCount val="7"/>
                <c:pt idx="0">
                  <c:v>2018</c:v>
                </c:pt>
                <c:pt idx="1">
                  <c:v>2019</c:v>
                </c:pt>
                <c:pt idx="2">
                  <c:v>2020</c:v>
                </c:pt>
                <c:pt idx="3">
                  <c:v>2021</c:v>
                </c:pt>
                <c:pt idx="4">
                  <c:v>2022</c:v>
                </c:pt>
                <c:pt idx="5">
                  <c:v>2023</c:v>
                </c:pt>
                <c:pt idx="6">
                  <c:v>2024</c:v>
                </c:pt>
              </c:numCache>
            </c:numRef>
          </c:cat>
          <c:val>
            <c:numRef>
              <c:f>Підсумки!$C$176:$I$176</c:f>
              <c:numCache>
                <c:formatCode>0.00</c:formatCode>
                <c:ptCount val="7"/>
                <c:pt idx="0">
                  <c:v>1.796356752891844</c:v>
                </c:pt>
                <c:pt idx="1">
                  <c:v>2.8977923602738609</c:v>
                </c:pt>
                <c:pt idx="2">
                  <c:v>3.5447565423796306</c:v>
                </c:pt>
                <c:pt idx="3">
                  <c:v>4.3028788995528693</c:v>
                </c:pt>
                <c:pt idx="4">
                  <c:v>3.798958978250019</c:v>
                </c:pt>
                <c:pt idx="5">
                  <c:v>3.8275642026485324</c:v>
                </c:pt>
                <c:pt idx="6">
                  <c:v>3.5022434678186922</c:v>
                </c:pt>
              </c:numCache>
            </c:numRef>
          </c:val>
          <c:extLst>
            <c:ext xmlns:c16="http://schemas.microsoft.com/office/drawing/2014/chart" uri="{C3380CC4-5D6E-409C-BE32-E72D297353CC}">
              <c16:uniqueId val="{00000000-0130-4F30-A145-81F8EFE8D0E6}"/>
            </c:ext>
          </c:extLst>
        </c:ser>
        <c:ser>
          <c:idx val="1"/>
          <c:order val="1"/>
          <c:tx>
            <c:strRef>
              <c:f>Підсумки!$A$177</c:f>
              <c:strCache>
                <c:ptCount val="1"/>
                <c:pt idx="0">
                  <c:v>Песимістичний сценарій</c:v>
                </c:pt>
              </c:strCache>
            </c:strRef>
          </c:tx>
          <c:spPr>
            <a:solidFill>
              <a:schemeClr val="bg1">
                <a:lumMod val="50000"/>
              </a:schemeClr>
            </a:solidFill>
            <a:ln>
              <a:noFill/>
            </a:ln>
            <a:effectLst/>
          </c:spPr>
          <c:invertIfNegative val="0"/>
          <c:cat>
            <c:numRef>
              <c:f>Підсумки!$C$175:$I$175</c:f>
              <c:numCache>
                <c:formatCode>General</c:formatCode>
                <c:ptCount val="7"/>
                <c:pt idx="0">
                  <c:v>2018</c:v>
                </c:pt>
                <c:pt idx="1">
                  <c:v>2019</c:v>
                </c:pt>
                <c:pt idx="2">
                  <c:v>2020</c:v>
                </c:pt>
                <c:pt idx="3">
                  <c:v>2021</c:v>
                </c:pt>
                <c:pt idx="4">
                  <c:v>2022</c:v>
                </c:pt>
                <c:pt idx="5">
                  <c:v>2023</c:v>
                </c:pt>
                <c:pt idx="6">
                  <c:v>2024</c:v>
                </c:pt>
              </c:numCache>
            </c:numRef>
          </c:cat>
          <c:val>
            <c:numRef>
              <c:f>Підсумки!$C$177:$I$177</c:f>
              <c:numCache>
                <c:formatCode>0.00</c:formatCode>
                <c:ptCount val="7"/>
                <c:pt idx="0">
                  <c:v>1.796356752891844</c:v>
                </c:pt>
                <c:pt idx="1">
                  <c:v>2.8977923602738609</c:v>
                </c:pt>
                <c:pt idx="2">
                  <c:v>3.5447565423796306</c:v>
                </c:pt>
                <c:pt idx="3">
                  <c:v>4.6046716826101814</c:v>
                </c:pt>
                <c:pt idx="4">
                  <c:v>4.0019085611962284</c:v>
                </c:pt>
                <c:pt idx="5">
                  <c:v>3.6008638063494129</c:v>
                </c:pt>
                <c:pt idx="6">
                  <c:v>2.7376633020048189</c:v>
                </c:pt>
              </c:numCache>
            </c:numRef>
          </c:val>
          <c:extLst>
            <c:ext xmlns:c16="http://schemas.microsoft.com/office/drawing/2014/chart" uri="{C3380CC4-5D6E-409C-BE32-E72D297353CC}">
              <c16:uniqueId val="{00000001-0130-4F30-A145-81F8EFE8D0E6}"/>
            </c:ext>
          </c:extLst>
        </c:ser>
        <c:dLbls>
          <c:showLegendKey val="0"/>
          <c:showVal val="0"/>
          <c:showCatName val="0"/>
          <c:showSerName val="0"/>
          <c:showPercent val="0"/>
          <c:showBubbleSize val="0"/>
        </c:dLbls>
        <c:gapWidth val="75"/>
        <c:axId val="378389592"/>
        <c:axId val="378391944"/>
      </c:barChart>
      <c:catAx>
        <c:axId val="378389592"/>
        <c:scaling>
          <c:orientation val="minMax"/>
        </c:scaling>
        <c:delete val="0"/>
        <c:axPos val="b"/>
        <c:numFmt formatCode="General" sourceLinked="1"/>
        <c:majorTickMark val="none"/>
        <c:minorTickMark val="none"/>
        <c:tickLblPos val="low"/>
        <c:spPr>
          <a:noFill/>
          <a:ln w="9525" cap="flat" cmpd="sng" algn="ctr">
            <a:solidFill>
              <a:schemeClr val="bg1">
                <a:lumMod val="6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378391944"/>
        <c:crosses val="autoZero"/>
        <c:auto val="1"/>
        <c:lblAlgn val="ctr"/>
        <c:lblOffset val="100"/>
        <c:noMultiLvlLbl val="0"/>
      </c:catAx>
      <c:valAx>
        <c:axId val="378391944"/>
        <c:scaling>
          <c:orientation val="minMax"/>
        </c:scaling>
        <c:delete val="0"/>
        <c:axPos val="l"/>
        <c:numFmt formatCode="0.0" sourceLinked="0"/>
        <c:majorTickMark val="none"/>
        <c:minorTickMark val="none"/>
        <c:tickLblPos val="nextTo"/>
        <c:spPr>
          <a:noFill/>
          <a:ln>
            <a:solidFill>
              <a:schemeClr val="bg1">
                <a:lumMod val="65000"/>
              </a:schemeClr>
            </a:solid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378389592"/>
        <c:crosses val="autoZero"/>
        <c:crossBetween val="between"/>
      </c:valAx>
      <c:spPr>
        <a:noFill/>
        <a:ln>
          <a:solidFill>
            <a:schemeClr val="bg1">
              <a:lumMod val="65000"/>
            </a:schemeClr>
          </a:solidFill>
        </a:ln>
        <a:effectLst/>
      </c:spPr>
    </c:plotArea>
    <c:legend>
      <c:legendPos val="b"/>
      <c:layout>
        <c:manualLayout>
          <c:xMode val="edge"/>
          <c:yMode val="edge"/>
          <c:x val="1.1053073811318143E-2"/>
          <c:y val="0.86083254593175862"/>
          <c:w val="0.97450061935327392"/>
          <c:h val="0.11916745406824147"/>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noFill/>
      <a:round/>
    </a:ln>
    <a:effectLst/>
  </c:spPr>
  <c:txPr>
    <a:bodyPr/>
    <a:lstStyle/>
    <a:p>
      <a:pPr>
        <a:defRPr/>
      </a:pPr>
      <a:endParaRPr lang="uk-UA"/>
    </a:p>
  </c:tx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4296488480211964"/>
          <c:y val="7.7205090399556628E-2"/>
          <c:w val="0.85209648780730651"/>
          <c:h val="0.68580447714305981"/>
        </c:manualLayout>
      </c:layout>
      <c:barChart>
        <c:barDir val="col"/>
        <c:grouping val="clustered"/>
        <c:varyColors val="0"/>
        <c:ser>
          <c:idx val="0"/>
          <c:order val="0"/>
          <c:tx>
            <c:strRef>
              <c:f>Підсумки!$A$226</c:f>
              <c:strCache>
                <c:ptCount val="1"/>
                <c:pt idx="0">
                  <c:v>Базовий сценарій</c:v>
                </c:pt>
              </c:strCache>
            </c:strRef>
          </c:tx>
          <c:spPr>
            <a:solidFill>
              <a:srgbClr val="FFC000"/>
            </a:solidFill>
            <a:ln>
              <a:noFill/>
            </a:ln>
            <a:effectLst/>
          </c:spPr>
          <c:invertIfNegative val="0"/>
          <c:cat>
            <c:numRef>
              <c:f>Підсумки!$C$225:$I$225</c:f>
              <c:numCache>
                <c:formatCode>General</c:formatCode>
                <c:ptCount val="7"/>
                <c:pt idx="0">
                  <c:v>2018</c:v>
                </c:pt>
                <c:pt idx="1">
                  <c:v>2019</c:v>
                </c:pt>
                <c:pt idx="2">
                  <c:v>2020</c:v>
                </c:pt>
                <c:pt idx="3">
                  <c:v>2021</c:v>
                </c:pt>
                <c:pt idx="4">
                  <c:v>2022</c:v>
                </c:pt>
                <c:pt idx="5">
                  <c:v>2023</c:v>
                </c:pt>
                <c:pt idx="6">
                  <c:v>2024</c:v>
                </c:pt>
              </c:numCache>
            </c:numRef>
          </c:cat>
          <c:val>
            <c:numRef>
              <c:f>Підсумки!$C$226:$I$226</c:f>
              <c:numCache>
                <c:formatCode>#\ ##0;\(#\ ##0\)</c:formatCode>
                <c:ptCount val="7"/>
                <c:pt idx="0">
                  <c:v>203.85400000001334</c:v>
                </c:pt>
                <c:pt idx="1">
                  <c:v>2988.2470000000117</c:v>
                </c:pt>
                <c:pt idx="2">
                  <c:v>-11899.687</c:v>
                </c:pt>
                <c:pt idx="3">
                  <c:v>-725.370899468228</c:v>
                </c:pt>
                <c:pt idx="4">
                  <c:v>-967.41335674073207</c:v>
                </c:pt>
                <c:pt idx="5">
                  <c:v>-2622.7646730199149</c:v>
                </c:pt>
                <c:pt idx="6">
                  <c:v>-724.15311546092551</c:v>
                </c:pt>
              </c:numCache>
            </c:numRef>
          </c:val>
          <c:extLst>
            <c:ext xmlns:c16="http://schemas.microsoft.com/office/drawing/2014/chart" uri="{C3380CC4-5D6E-409C-BE32-E72D297353CC}">
              <c16:uniqueId val="{00000000-F4B5-4A39-B2AE-C007E1049EE9}"/>
            </c:ext>
          </c:extLst>
        </c:ser>
        <c:ser>
          <c:idx val="1"/>
          <c:order val="1"/>
          <c:tx>
            <c:strRef>
              <c:f>Підсумки!$A$227</c:f>
              <c:strCache>
                <c:ptCount val="1"/>
                <c:pt idx="0">
                  <c:v>Песимістичний сценарій</c:v>
                </c:pt>
              </c:strCache>
            </c:strRef>
          </c:tx>
          <c:spPr>
            <a:solidFill>
              <a:schemeClr val="bg1">
                <a:lumMod val="50000"/>
              </a:schemeClr>
            </a:solidFill>
            <a:ln>
              <a:noFill/>
            </a:ln>
            <a:effectLst/>
          </c:spPr>
          <c:invertIfNegative val="0"/>
          <c:cat>
            <c:numRef>
              <c:f>Підсумки!$C$225:$I$225</c:f>
              <c:numCache>
                <c:formatCode>General</c:formatCode>
                <c:ptCount val="7"/>
                <c:pt idx="0">
                  <c:v>2018</c:v>
                </c:pt>
                <c:pt idx="1">
                  <c:v>2019</c:v>
                </c:pt>
                <c:pt idx="2">
                  <c:v>2020</c:v>
                </c:pt>
                <c:pt idx="3">
                  <c:v>2021</c:v>
                </c:pt>
                <c:pt idx="4">
                  <c:v>2022</c:v>
                </c:pt>
                <c:pt idx="5">
                  <c:v>2023</c:v>
                </c:pt>
                <c:pt idx="6">
                  <c:v>2024</c:v>
                </c:pt>
              </c:numCache>
            </c:numRef>
          </c:cat>
          <c:val>
            <c:numRef>
              <c:f>Підсумки!$C$227:$I$227</c:f>
              <c:numCache>
                <c:formatCode>#\ ##0;\(#\ ##0\)</c:formatCode>
                <c:ptCount val="7"/>
                <c:pt idx="0">
                  <c:v>203.85400000001334</c:v>
                </c:pt>
                <c:pt idx="1">
                  <c:v>2988.2470000000117</c:v>
                </c:pt>
                <c:pt idx="2">
                  <c:v>-11899.687</c:v>
                </c:pt>
                <c:pt idx="3">
                  <c:v>-852.13580973804108</c:v>
                </c:pt>
                <c:pt idx="4">
                  <c:v>-1446.5808201441969</c:v>
                </c:pt>
                <c:pt idx="5">
                  <c:v>-2841.6585506861875</c:v>
                </c:pt>
                <c:pt idx="6">
                  <c:v>-2952.8035615865588</c:v>
                </c:pt>
              </c:numCache>
            </c:numRef>
          </c:val>
          <c:extLst>
            <c:ext xmlns:c16="http://schemas.microsoft.com/office/drawing/2014/chart" uri="{C3380CC4-5D6E-409C-BE32-E72D297353CC}">
              <c16:uniqueId val="{00000001-F4B5-4A39-B2AE-C007E1049EE9}"/>
            </c:ext>
          </c:extLst>
        </c:ser>
        <c:dLbls>
          <c:showLegendKey val="0"/>
          <c:showVal val="0"/>
          <c:showCatName val="0"/>
          <c:showSerName val="0"/>
          <c:showPercent val="0"/>
          <c:showBubbleSize val="0"/>
        </c:dLbls>
        <c:gapWidth val="75"/>
        <c:axId val="378388024"/>
        <c:axId val="378388416"/>
      </c:barChart>
      <c:catAx>
        <c:axId val="378388024"/>
        <c:scaling>
          <c:orientation val="minMax"/>
        </c:scaling>
        <c:delete val="0"/>
        <c:axPos val="b"/>
        <c:numFmt formatCode="General" sourceLinked="1"/>
        <c:majorTickMark val="none"/>
        <c:minorTickMark val="none"/>
        <c:tickLblPos val="low"/>
        <c:spPr>
          <a:noFill/>
          <a:ln w="9525" cap="flat" cmpd="sng" algn="ctr">
            <a:solidFill>
              <a:schemeClr val="bg1">
                <a:lumMod val="6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378388416"/>
        <c:crosses val="autoZero"/>
        <c:auto val="1"/>
        <c:lblAlgn val="ctr"/>
        <c:lblOffset val="100"/>
        <c:noMultiLvlLbl val="0"/>
      </c:catAx>
      <c:valAx>
        <c:axId val="378388416"/>
        <c:scaling>
          <c:orientation val="minMax"/>
          <c:min val="-12000"/>
        </c:scaling>
        <c:delete val="0"/>
        <c:axPos val="l"/>
        <c:title>
          <c:tx>
            <c:rich>
              <a:bodyPr/>
              <a:lstStyle/>
              <a:p>
                <a:pPr>
                  <a:defRPr sz="900">
                    <a:solidFill>
                      <a:schemeClr val="tx1">
                        <a:lumMod val="65000"/>
                        <a:lumOff val="35000"/>
                      </a:schemeClr>
                    </a:solidFill>
                  </a:defRPr>
                </a:pPr>
                <a:r>
                  <a:rPr lang="uk-UA" sz="900" b="0" i="0" baseline="0">
                    <a:solidFill>
                      <a:schemeClr val="tx1">
                        <a:lumMod val="65000"/>
                        <a:lumOff val="35000"/>
                      </a:schemeClr>
                    </a:solidFill>
                    <a:effectLst/>
                  </a:rPr>
                  <a:t>млн гривень</a:t>
                </a:r>
                <a:endParaRPr lang="uk-UA" sz="900">
                  <a:solidFill>
                    <a:schemeClr val="tx1">
                      <a:lumMod val="65000"/>
                      <a:lumOff val="35000"/>
                    </a:schemeClr>
                  </a:solidFill>
                  <a:effectLst/>
                </a:endParaRPr>
              </a:p>
            </c:rich>
          </c:tx>
          <c:overlay val="0"/>
        </c:title>
        <c:numFmt formatCode="#\ ##0;\(#\ ##0\)" sourceLinked="1"/>
        <c:majorTickMark val="none"/>
        <c:minorTickMark val="none"/>
        <c:tickLblPos val="nextTo"/>
        <c:spPr>
          <a:noFill/>
          <a:ln>
            <a:solidFill>
              <a:schemeClr val="bg1">
                <a:lumMod val="65000"/>
              </a:schemeClr>
            </a:solid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378388024"/>
        <c:crosses val="autoZero"/>
        <c:crossBetween val="between"/>
      </c:valAx>
      <c:spPr>
        <a:noFill/>
        <a:ln>
          <a:solidFill>
            <a:schemeClr val="bg1">
              <a:lumMod val="65000"/>
            </a:schemeClr>
          </a:solidFill>
        </a:ln>
        <a:effectLst/>
      </c:spPr>
    </c:plotArea>
    <c:legend>
      <c:legendPos val="b"/>
      <c:layout>
        <c:manualLayout>
          <c:xMode val="edge"/>
          <c:yMode val="edge"/>
          <c:x val="0.12075808224959186"/>
          <c:y val="0.90359810389827588"/>
          <c:w val="0.84977577379696367"/>
          <c:h val="9.6401703000492542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noFill/>
      <a:round/>
    </a:ln>
    <a:effectLst/>
  </c:spPr>
  <c:txPr>
    <a:bodyPr/>
    <a:lstStyle/>
    <a:p>
      <a:pPr>
        <a:defRPr/>
      </a:pPr>
      <a:endParaRPr lang="uk-UA"/>
    </a:p>
  </c:tx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700188195743186"/>
          <c:y val="9.4258608336178079E-2"/>
          <c:w val="0.88201098057688643"/>
          <c:h val="0.56219042040160205"/>
        </c:manualLayout>
      </c:layout>
      <c:barChart>
        <c:barDir val="col"/>
        <c:grouping val="clustered"/>
        <c:varyColors val="0"/>
        <c:ser>
          <c:idx val="0"/>
          <c:order val="0"/>
          <c:tx>
            <c:strRef>
              <c:f>Підсумки!$A$125</c:f>
              <c:strCache>
                <c:ptCount val="1"/>
                <c:pt idx="0">
                  <c:v>Базовий сценарій</c:v>
                </c:pt>
              </c:strCache>
            </c:strRef>
          </c:tx>
          <c:spPr>
            <a:solidFill>
              <a:srgbClr val="FFC000"/>
            </a:solidFill>
            <a:ln>
              <a:noFill/>
            </a:ln>
            <a:effectLst/>
          </c:spPr>
          <c:invertIfNegative val="0"/>
          <c:cat>
            <c:numRef>
              <c:f>Підсумки!$C$124:$I$124</c:f>
              <c:numCache>
                <c:formatCode>General</c:formatCode>
                <c:ptCount val="7"/>
                <c:pt idx="0">
                  <c:v>2018</c:v>
                </c:pt>
                <c:pt idx="1">
                  <c:v>2019</c:v>
                </c:pt>
                <c:pt idx="2">
                  <c:v>2020</c:v>
                </c:pt>
                <c:pt idx="3">
                  <c:v>2021</c:v>
                </c:pt>
                <c:pt idx="4">
                  <c:v>2022</c:v>
                </c:pt>
                <c:pt idx="5">
                  <c:v>2023</c:v>
                </c:pt>
                <c:pt idx="6">
                  <c:v>2024</c:v>
                </c:pt>
              </c:numCache>
            </c:numRef>
          </c:cat>
          <c:val>
            <c:numRef>
              <c:f>Підсумки!$C$125:$I$125</c:f>
              <c:numCache>
                <c:formatCode>0.0%</c:formatCode>
                <c:ptCount val="7"/>
                <c:pt idx="0">
                  <c:v>0.2086206199970263</c:v>
                </c:pt>
                <c:pt idx="1">
                  <c:v>0.21260821961348902</c:v>
                </c:pt>
                <c:pt idx="2">
                  <c:v>0.22630368582279226</c:v>
                </c:pt>
                <c:pt idx="3">
                  <c:v>0.22859394292940829</c:v>
                </c:pt>
                <c:pt idx="4">
                  <c:v>0.24606080881856254</c:v>
                </c:pt>
                <c:pt idx="5">
                  <c:v>0.25420683036009145</c:v>
                </c:pt>
                <c:pt idx="6">
                  <c:v>0.20557289897728448</c:v>
                </c:pt>
              </c:numCache>
            </c:numRef>
          </c:val>
          <c:extLst>
            <c:ext xmlns:c16="http://schemas.microsoft.com/office/drawing/2014/chart" uri="{C3380CC4-5D6E-409C-BE32-E72D297353CC}">
              <c16:uniqueId val="{00000000-556F-489C-8263-E45E95320C29}"/>
            </c:ext>
          </c:extLst>
        </c:ser>
        <c:ser>
          <c:idx val="1"/>
          <c:order val="1"/>
          <c:tx>
            <c:strRef>
              <c:f>Підсумки!$A$126</c:f>
              <c:strCache>
                <c:ptCount val="1"/>
                <c:pt idx="0">
                  <c:v>Песимістичний сценарій</c:v>
                </c:pt>
              </c:strCache>
            </c:strRef>
          </c:tx>
          <c:spPr>
            <a:solidFill>
              <a:schemeClr val="bg1">
                <a:lumMod val="50000"/>
              </a:schemeClr>
            </a:solidFill>
            <a:ln>
              <a:noFill/>
            </a:ln>
            <a:effectLst/>
          </c:spPr>
          <c:invertIfNegative val="0"/>
          <c:cat>
            <c:numRef>
              <c:f>Підсумки!$C$124:$I$124</c:f>
              <c:numCache>
                <c:formatCode>General</c:formatCode>
                <c:ptCount val="7"/>
                <c:pt idx="0">
                  <c:v>2018</c:v>
                </c:pt>
                <c:pt idx="1">
                  <c:v>2019</c:v>
                </c:pt>
                <c:pt idx="2">
                  <c:v>2020</c:v>
                </c:pt>
                <c:pt idx="3">
                  <c:v>2021</c:v>
                </c:pt>
                <c:pt idx="4">
                  <c:v>2022</c:v>
                </c:pt>
                <c:pt idx="5">
                  <c:v>2023</c:v>
                </c:pt>
                <c:pt idx="6">
                  <c:v>2024</c:v>
                </c:pt>
              </c:numCache>
            </c:numRef>
          </c:cat>
          <c:val>
            <c:numRef>
              <c:f>Підсумки!$C$126:$I$126</c:f>
              <c:numCache>
                <c:formatCode>0.0%</c:formatCode>
                <c:ptCount val="7"/>
                <c:pt idx="0">
                  <c:v>0.2086206199970263</c:v>
                </c:pt>
                <c:pt idx="1">
                  <c:v>0.21260821961348902</c:v>
                </c:pt>
                <c:pt idx="2">
                  <c:v>0.22630368582279226</c:v>
                </c:pt>
                <c:pt idx="3">
                  <c:v>0.2288619846507641</c:v>
                </c:pt>
                <c:pt idx="4">
                  <c:v>0.24868886749001018</c:v>
                </c:pt>
                <c:pt idx="5">
                  <c:v>0.25810252301316583</c:v>
                </c:pt>
                <c:pt idx="6">
                  <c:v>0.20076083451862223</c:v>
                </c:pt>
              </c:numCache>
            </c:numRef>
          </c:val>
          <c:extLst>
            <c:ext xmlns:c16="http://schemas.microsoft.com/office/drawing/2014/chart" uri="{C3380CC4-5D6E-409C-BE32-E72D297353CC}">
              <c16:uniqueId val="{00000001-556F-489C-8263-E45E95320C29}"/>
            </c:ext>
          </c:extLst>
        </c:ser>
        <c:dLbls>
          <c:showLegendKey val="0"/>
          <c:showVal val="0"/>
          <c:showCatName val="0"/>
          <c:showSerName val="0"/>
          <c:showPercent val="0"/>
          <c:showBubbleSize val="0"/>
        </c:dLbls>
        <c:gapWidth val="75"/>
        <c:axId val="378389200"/>
        <c:axId val="378394688"/>
      </c:barChart>
      <c:catAx>
        <c:axId val="378389200"/>
        <c:scaling>
          <c:orientation val="minMax"/>
        </c:scaling>
        <c:delete val="0"/>
        <c:axPos val="b"/>
        <c:numFmt formatCode="General" sourceLinked="1"/>
        <c:majorTickMark val="none"/>
        <c:minorTickMark val="none"/>
        <c:tickLblPos val="low"/>
        <c:spPr>
          <a:noFill/>
          <a:ln w="9525" cap="flat" cmpd="sng" algn="ctr">
            <a:solidFill>
              <a:schemeClr val="bg1">
                <a:lumMod val="6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378394688"/>
        <c:crosses val="autoZero"/>
        <c:auto val="1"/>
        <c:lblAlgn val="ctr"/>
        <c:lblOffset val="100"/>
        <c:noMultiLvlLbl val="0"/>
      </c:catAx>
      <c:valAx>
        <c:axId val="378394688"/>
        <c:scaling>
          <c:orientation val="minMax"/>
        </c:scaling>
        <c:delete val="0"/>
        <c:axPos val="l"/>
        <c:numFmt formatCode="0.0%" sourceLinked="1"/>
        <c:majorTickMark val="none"/>
        <c:minorTickMark val="none"/>
        <c:tickLblPos val="nextTo"/>
        <c:spPr>
          <a:noFill/>
          <a:ln>
            <a:solidFill>
              <a:schemeClr val="bg1">
                <a:lumMod val="65000"/>
              </a:schemeClr>
            </a:solid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378389200"/>
        <c:crosses val="autoZero"/>
        <c:crossBetween val="between"/>
      </c:valAx>
      <c:spPr>
        <a:noFill/>
        <a:ln>
          <a:solidFill>
            <a:schemeClr val="bg1">
              <a:lumMod val="65000"/>
            </a:schemeClr>
          </a:solidFill>
        </a:ln>
        <a:effectLst/>
      </c:spPr>
    </c:plotArea>
    <c:legend>
      <c:legendPos val="b"/>
      <c:layout>
        <c:manualLayout>
          <c:xMode val="edge"/>
          <c:yMode val="edge"/>
          <c:x val="8.6122982531040518E-2"/>
          <c:y val="0.855397445499261"/>
          <c:w val="0.90193065232413305"/>
          <c:h val="0.1446025545007388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noFill/>
      <a:round/>
    </a:ln>
    <a:effectLst/>
  </c:spPr>
  <c:txPr>
    <a:bodyPr/>
    <a:lstStyle/>
    <a:p>
      <a:pPr>
        <a:defRPr/>
      </a:pPr>
      <a:endParaRPr lang="uk-UA"/>
    </a:p>
  </c:txPr>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7339378662900041E-2"/>
          <c:y val="0.11089108910891089"/>
          <c:w val="0.90779441717456277"/>
          <c:h val="0.54793357760972949"/>
        </c:manualLayout>
      </c:layout>
      <c:barChart>
        <c:barDir val="col"/>
        <c:grouping val="clustered"/>
        <c:varyColors val="0"/>
        <c:ser>
          <c:idx val="0"/>
          <c:order val="0"/>
          <c:tx>
            <c:strRef>
              <c:f>Підсумки!$A$176</c:f>
              <c:strCache>
                <c:ptCount val="1"/>
                <c:pt idx="0">
                  <c:v>Базовий сценарій</c:v>
                </c:pt>
              </c:strCache>
            </c:strRef>
          </c:tx>
          <c:spPr>
            <a:solidFill>
              <a:srgbClr val="FFC000"/>
            </a:solidFill>
            <a:ln>
              <a:noFill/>
            </a:ln>
            <a:effectLst/>
          </c:spPr>
          <c:invertIfNegative val="0"/>
          <c:cat>
            <c:numRef>
              <c:f>Підсумки!$C$175:$I$175</c:f>
              <c:numCache>
                <c:formatCode>General</c:formatCode>
                <c:ptCount val="7"/>
                <c:pt idx="0">
                  <c:v>2018</c:v>
                </c:pt>
                <c:pt idx="1">
                  <c:v>2019</c:v>
                </c:pt>
                <c:pt idx="2">
                  <c:v>2020</c:v>
                </c:pt>
                <c:pt idx="3">
                  <c:v>2021</c:v>
                </c:pt>
                <c:pt idx="4">
                  <c:v>2022</c:v>
                </c:pt>
                <c:pt idx="5">
                  <c:v>2023</c:v>
                </c:pt>
                <c:pt idx="6">
                  <c:v>2024</c:v>
                </c:pt>
              </c:numCache>
            </c:numRef>
          </c:cat>
          <c:val>
            <c:numRef>
              <c:f>Підсумки!$C$176:$I$176</c:f>
              <c:numCache>
                <c:formatCode>0.00</c:formatCode>
                <c:ptCount val="7"/>
                <c:pt idx="0">
                  <c:v>0.38252198076854826</c:v>
                </c:pt>
                <c:pt idx="1">
                  <c:v>0.68324665719440425</c:v>
                </c:pt>
                <c:pt idx="2">
                  <c:v>0.42525014027386399</c:v>
                </c:pt>
                <c:pt idx="3">
                  <c:v>0.56862540776572457</c:v>
                </c:pt>
                <c:pt idx="4">
                  <c:v>0.91672192363228844</c:v>
                </c:pt>
                <c:pt idx="5">
                  <c:v>1.0704431015523734</c:v>
                </c:pt>
                <c:pt idx="6">
                  <c:v>0.6613760387872436</c:v>
                </c:pt>
              </c:numCache>
            </c:numRef>
          </c:val>
          <c:extLst>
            <c:ext xmlns:c16="http://schemas.microsoft.com/office/drawing/2014/chart" uri="{C3380CC4-5D6E-409C-BE32-E72D297353CC}">
              <c16:uniqueId val="{00000000-D0FC-4662-81A0-5AFC215E088A}"/>
            </c:ext>
          </c:extLst>
        </c:ser>
        <c:ser>
          <c:idx val="1"/>
          <c:order val="1"/>
          <c:tx>
            <c:strRef>
              <c:f>Підсумки!$A$177</c:f>
              <c:strCache>
                <c:ptCount val="1"/>
                <c:pt idx="0">
                  <c:v>Песимістичний сценарій</c:v>
                </c:pt>
              </c:strCache>
            </c:strRef>
          </c:tx>
          <c:spPr>
            <a:solidFill>
              <a:schemeClr val="bg1">
                <a:lumMod val="50000"/>
              </a:schemeClr>
            </a:solidFill>
            <a:ln>
              <a:noFill/>
            </a:ln>
            <a:effectLst/>
          </c:spPr>
          <c:invertIfNegative val="0"/>
          <c:cat>
            <c:numRef>
              <c:f>Підсумки!$C$175:$I$175</c:f>
              <c:numCache>
                <c:formatCode>General</c:formatCode>
                <c:ptCount val="7"/>
                <c:pt idx="0">
                  <c:v>2018</c:v>
                </c:pt>
                <c:pt idx="1">
                  <c:v>2019</c:v>
                </c:pt>
                <c:pt idx="2">
                  <c:v>2020</c:v>
                </c:pt>
                <c:pt idx="3">
                  <c:v>2021</c:v>
                </c:pt>
                <c:pt idx="4">
                  <c:v>2022</c:v>
                </c:pt>
                <c:pt idx="5">
                  <c:v>2023</c:v>
                </c:pt>
                <c:pt idx="6">
                  <c:v>2024</c:v>
                </c:pt>
              </c:numCache>
            </c:numRef>
          </c:cat>
          <c:val>
            <c:numRef>
              <c:f>Підсумки!$C$177:$I$177</c:f>
              <c:numCache>
                <c:formatCode>0.00</c:formatCode>
                <c:ptCount val="7"/>
                <c:pt idx="0">
                  <c:v>0.38252198076854826</c:v>
                </c:pt>
                <c:pt idx="1">
                  <c:v>0.68324665719440425</c:v>
                </c:pt>
                <c:pt idx="2">
                  <c:v>0.42525014027386399</c:v>
                </c:pt>
                <c:pt idx="3">
                  <c:v>0.56607985677910866</c:v>
                </c:pt>
                <c:pt idx="4">
                  <c:v>0.92055173585811056</c:v>
                </c:pt>
                <c:pt idx="5">
                  <c:v>1.0794945082427665</c:v>
                </c:pt>
                <c:pt idx="6">
                  <c:v>0.4782891313585606</c:v>
                </c:pt>
              </c:numCache>
            </c:numRef>
          </c:val>
          <c:extLst>
            <c:ext xmlns:c16="http://schemas.microsoft.com/office/drawing/2014/chart" uri="{C3380CC4-5D6E-409C-BE32-E72D297353CC}">
              <c16:uniqueId val="{00000001-D0FC-4662-81A0-5AFC215E088A}"/>
            </c:ext>
          </c:extLst>
        </c:ser>
        <c:dLbls>
          <c:showLegendKey val="0"/>
          <c:showVal val="0"/>
          <c:showCatName val="0"/>
          <c:showSerName val="0"/>
          <c:showPercent val="0"/>
          <c:showBubbleSize val="0"/>
        </c:dLbls>
        <c:gapWidth val="75"/>
        <c:axId val="378389592"/>
        <c:axId val="378391944"/>
      </c:barChart>
      <c:catAx>
        <c:axId val="378389592"/>
        <c:scaling>
          <c:orientation val="minMax"/>
        </c:scaling>
        <c:delete val="0"/>
        <c:axPos val="b"/>
        <c:numFmt formatCode="General" sourceLinked="1"/>
        <c:majorTickMark val="none"/>
        <c:minorTickMark val="none"/>
        <c:tickLblPos val="low"/>
        <c:spPr>
          <a:noFill/>
          <a:ln w="9525" cap="flat" cmpd="sng" algn="ctr">
            <a:solidFill>
              <a:schemeClr val="bg1">
                <a:lumMod val="6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378391944"/>
        <c:crosses val="autoZero"/>
        <c:auto val="1"/>
        <c:lblAlgn val="ctr"/>
        <c:lblOffset val="100"/>
        <c:noMultiLvlLbl val="0"/>
      </c:catAx>
      <c:valAx>
        <c:axId val="378391944"/>
        <c:scaling>
          <c:orientation val="minMax"/>
        </c:scaling>
        <c:delete val="0"/>
        <c:axPos val="l"/>
        <c:numFmt formatCode="0.0" sourceLinked="0"/>
        <c:majorTickMark val="none"/>
        <c:minorTickMark val="none"/>
        <c:tickLblPos val="nextTo"/>
        <c:spPr>
          <a:noFill/>
          <a:ln>
            <a:solidFill>
              <a:schemeClr val="bg1">
                <a:lumMod val="65000"/>
              </a:schemeClr>
            </a:solid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378389592"/>
        <c:crosses val="autoZero"/>
        <c:crossBetween val="between"/>
      </c:valAx>
      <c:spPr>
        <a:noFill/>
        <a:ln>
          <a:solidFill>
            <a:schemeClr val="bg1">
              <a:lumMod val="65000"/>
            </a:schemeClr>
          </a:solid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noFill/>
      <a:round/>
    </a:ln>
    <a:effectLst/>
  </c:spPr>
  <c:txPr>
    <a:bodyPr/>
    <a:lstStyle/>
    <a:p>
      <a:pPr>
        <a:defRPr/>
      </a:pPr>
      <a:endParaRPr lang="uk-UA"/>
    </a:p>
  </c:txPr>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556999062348198"/>
          <c:y val="4.1753551220670281E-2"/>
          <c:w val="0.83579321953478902"/>
          <c:h val="0.70688679618565264"/>
        </c:manualLayout>
      </c:layout>
      <c:barChart>
        <c:barDir val="col"/>
        <c:grouping val="clustered"/>
        <c:varyColors val="0"/>
        <c:ser>
          <c:idx val="0"/>
          <c:order val="0"/>
          <c:tx>
            <c:strRef>
              <c:f>Підсумки!$A$226</c:f>
              <c:strCache>
                <c:ptCount val="1"/>
                <c:pt idx="0">
                  <c:v>Базовий сценарій</c:v>
                </c:pt>
              </c:strCache>
            </c:strRef>
          </c:tx>
          <c:spPr>
            <a:solidFill>
              <a:srgbClr val="FFC000"/>
            </a:solidFill>
            <a:ln>
              <a:noFill/>
            </a:ln>
            <a:effectLst/>
          </c:spPr>
          <c:invertIfNegative val="0"/>
          <c:cat>
            <c:numRef>
              <c:f>Підсумки!$C$225:$I$225</c:f>
              <c:numCache>
                <c:formatCode>General</c:formatCode>
                <c:ptCount val="7"/>
                <c:pt idx="0">
                  <c:v>2018</c:v>
                </c:pt>
                <c:pt idx="1">
                  <c:v>2019</c:v>
                </c:pt>
                <c:pt idx="2">
                  <c:v>2020</c:v>
                </c:pt>
                <c:pt idx="3">
                  <c:v>2021</c:v>
                </c:pt>
                <c:pt idx="4">
                  <c:v>2022</c:v>
                </c:pt>
                <c:pt idx="5">
                  <c:v>2023</c:v>
                </c:pt>
                <c:pt idx="6">
                  <c:v>2024</c:v>
                </c:pt>
              </c:numCache>
            </c:numRef>
          </c:cat>
          <c:val>
            <c:numRef>
              <c:f>Підсумки!$C$226:$I$226</c:f>
              <c:numCache>
                <c:formatCode>#\ ##0;\(#\ ##0\)</c:formatCode>
                <c:ptCount val="7"/>
                <c:pt idx="0">
                  <c:v>2602.7250000000004</c:v>
                </c:pt>
                <c:pt idx="1">
                  <c:v>1857.3909999999996</c:v>
                </c:pt>
                <c:pt idx="2">
                  <c:v>-27498.471000000005</c:v>
                </c:pt>
                <c:pt idx="3">
                  <c:v>177.61818436181983</c:v>
                </c:pt>
                <c:pt idx="4">
                  <c:v>6710.3113398531013</c:v>
                </c:pt>
                <c:pt idx="5">
                  <c:v>6521.9135202633279</c:v>
                </c:pt>
                <c:pt idx="6">
                  <c:v>9371.4709081419951</c:v>
                </c:pt>
              </c:numCache>
            </c:numRef>
          </c:val>
          <c:extLst>
            <c:ext xmlns:c16="http://schemas.microsoft.com/office/drawing/2014/chart" uri="{C3380CC4-5D6E-409C-BE32-E72D297353CC}">
              <c16:uniqueId val="{00000000-1664-4350-B208-A7A45D525491}"/>
            </c:ext>
          </c:extLst>
        </c:ser>
        <c:ser>
          <c:idx val="1"/>
          <c:order val="1"/>
          <c:tx>
            <c:strRef>
              <c:f>Підсумки!$A$227</c:f>
              <c:strCache>
                <c:ptCount val="1"/>
                <c:pt idx="0">
                  <c:v>Песимістичний сценарій</c:v>
                </c:pt>
              </c:strCache>
            </c:strRef>
          </c:tx>
          <c:spPr>
            <a:solidFill>
              <a:schemeClr val="bg1">
                <a:lumMod val="50000"/>
              </a:schemeClr>
            </a:solidFill>
            <a:ln>
              <a:noFill/>
            </a:ln>
            <a:effectLst/>
          </c:spPr>
          <c:invertIfNegative val="0"/>
          <c:cat>
            <c:numRef>
              <c:f>Підсумки!$C$225:$I$225</c:f>
              <c:numCache>
                <c:formatCode>General</c:formatCode>
                <c:ptCount val="7"/>
                <c:pt idx="0">
                  <c:v>2018</c:v>
                </c:pt>
                <c:pt idx="1">
                  <c:v>2019</c:v>
                </c:pt>
                <c:pt idx="2">
                  <c:v>2020</c:v>
                </c:pt>
                <c:pt idx="3">
                  <c:v>2021</c:v>
                </c:pt>
                <c:pt idx="4">
                  <c:v>2022</c:v>
                </c:pt>
                <c:pt idx="5">
                  <c:v>2023</c:v>
                </c:pt>
                <c:pt idx="6">
                  <c:v>2024</c:v>
                </c:pt>
              </c:numCache>
            </c:numRef>
          </c:cat>
          <c:val>
            <c:numRef>
              <c:f>Підсумки!$C$227:$I$227</c:f>
              <c:numCache>
                <c:formatCode>#\ ##0;\(#\ ##0\)</c:formatCode>
                <c:ptCount val="7"/>
                <c:pt idx="0">
                  <c:v>2602.7250000000004</c:v>
                </c:pt>
                <c:pt idx="1">
                  <c:v>1857.3909999999996</c:v>
                </c:pt>
                <c:pt idx="2">
                  <c:v>-27498.471000000005</c:v>
                </c:pt>
                <c:pt idx="3">
                  <c:v>137.08397924774994</c:v>
                </c:pt>
                <c:pt idx="4">
                  <c:v>-4221.9457216020883</c:v>
                </c:pt>
                <c:pt idx="5">
                  <c:v>-7474.6634252178756</c:v>
                </c:pt>
                <c:pt idx="6">
                  <c:v>-10742.000797431412</c:v>
                </c:pt>
              </c:numCache>
            </c:numRef>
          </c:val>
          <c:extLst>
            <c:ext xmlns:c16="http://schemas.microsoft.com/office/drawing/2014/chart" uri="{C3380CC4-5D6E-409C-BE32-E72D297353CC}">
              <c16:uniqueId val="{00000001-1664-4350-B208-A7A45D525491}"/>
            </c:ext>
          </c:extLst>
        </c:ser>
        <c:dLbls>
          <c:showLegendKey val="0"/>
          <c:showVal val="0"/>
          <c:showCatName val="0"/>
          <c:showSerName val="0"/>
          <c:showPercent val="0"/>
          <c:showBubbleSize val="0"/>
        </c:dLbls>
        <c:gapWidth val="75"/>
        <c:axId val="378388024"/>
        <c:axId val="378388416"/>
      </c:barChart>
      <c:catAx>
        <c:axId val="378388024"/>
        <c:scaling>
          <c:orientation val="minMax"/>
        </c:scaling>
        <c:delete val="0"/>
        <c:axPos val="b"/>
        <c:numFmt formatCode="General" sourceLinked="1"/>
        <c:majorTickMark val="none"/>
        <c:minorTickMark val="none"/>
        <c:tickLblPos val="low"/>
        <c:spPr>
          <a:noFill/>
          <a:ln w="9525" cap="flat" cmpd="sng" algn="ctr">
            <a:solidFill>
              <a:schemeClr val="bg1">
                <a:lumMod val="65000"/>
              </a:schemeClr>
            </a:solidFill>
            <a:round/>
          </a:ln>
          <a:effectLst/>
        </c:spPr>
        <c:txPr>
          <a:bodyPr rot="-60000000" vert="horz"/>
          <a:lstStyle/>
          <a:p>
            <a:pPr>
              <a:defRPr/>
            </a:pPr>
            <a:endParaRPr lang="uk-UA"/>
          </a:p>
        </c:txPr>
        <c:crossAx val="378388416"/>
        <c:crosses val="autoZero"/>
        <c:auto val="1"/>
        <c:lblAlgn val="ctr"/>
        <c:lblOffset val="100"/>
        <c:noMultiLvlLbl val="0"/>
      </c:catAx>
      <c:valAx>
        <c:axId val="378388416"/>
        <c:scaling>
          <c:orientation val="minMax"/>
          <c:max val="10000"/>
        </c:scaling>
        <c:delete val="0"/>
        <c:axPos val="l"/>
        <c:title>
          <c:tx>
            <c:rich>
              <a:bodyPr/>
              <a:lstStyle/>
              <a:p>
                <a:pPr>
                  <a:defRPr sz="900">
                    <a:solidFill>
                      <a:schemeClr val="tx1">
                        <a:lumMod val="65000"/>
                        <a:lumOff val="35000"/>
                      </a:schemeClr>
                    </a:solidFill>
                  </a:defRPr>
                </a:pPr>
                <a:r>
                  <a:rPr lang="uk-UA" sz="900" b="0" i="0" baseline="0">
                    <a:solidFill>
                      <a:schemeClr val="tx1">
                        <a:lumMod val="65000"/>
                        <a:lumOff val="35000"/>
                      </a:schemeClr>
                    </a:solidFill>
                    <a:effectLst/>
                  </a:rPr>
                  <a:t>млн гривень</a:t>
                </a:r>
                <a:endParaRPr lang="uk-UA" sz="900">
                  <a:solidFill>
                    <a:schemeClr val="tx1">
                      <a:lumMod val="65000"/>
                      <a:lumOff val="35000"/>
                    </a:schemeClr>
                  </a:solidFill>
                  <a:effectLst/>
                </a:endParaRPr>
              </a:p>
            </c:rich>
          </c:tx>
          <c:layout>
            <c:manualLayout>
              <c:xMode val="edge"/>
              <c:yMode val="edge"/>
              <c:x val="1.0714083981969971E-3"/>
              <c:y val="0.19715960454233281"/>
            </c:manualLayout>
          </c:layout>
          <c:overlay val="0"/>
        </c:title>
        <c:numFmt formatCode="#\ ##0;\(#\ ##0\)" sourceLinked="1"/>
        <c:majorTickMark val="none"/>
        <c:minorTickMark val="none"/>
        <c:tickLblPos val="nextTo"/>
        <c:spPr>
          <a:noFill/>
          <a:ln>
            <a:solidFill>
              <a:schemeClr val="bg1">
                <a:lumMod val="65000"/>
              </a:schemeClr>
            </a:solidFill>
          </a:ln>
          <a:effectLst/>
        </c:spPr>
        <c:txPr>
          <a:bodyPr rot="-60000000" vert="horz"/>
          <a:lstStyle/>
          <a:p>
            <a:pPr>
              <a:defRPr>
                <a:solidFill>
                  <a:schemeClr val="bg1">
                    <a:lumMod val="50000"/>
                  </a:schemeClr>
                </a:solidFill>
              </a:defRPr>
            </a:pPr>
            <a:endParaRPr lang="uk-UA"/>
          </a:p>
        </c:txPr>
        <c:crossAx val="378388024"/>
        <c:crosses val="autoZero"/>
        <c:crossBetween val="between"/>
      </c:valAx>
      <c:spPr>
        <a:noFill/>
        <a:ln>
          <a:solidFill>
            <a:schemeClr val="bg1">
              <a:lumMod val="65000"/>
            </a:schemeClr>
          </a:solidFill>
        </a:ln>
        <a:effectLst/>
      </c:spPr>
    </c:plotArea>
    <c:legend>
      <c:legendPos val="b"/>
      <c:layout>
        <c:manualLayout>
          <c:xMode val="edge"/>
          <c:yMode val="edge"/>
          <c:x val="0.13886027438250795"/>
          <c:y val="0.90357369121963205"/>
          <c:w val="0.86016855138444859"/>
          <c:h val="9.4612103968287384E-2"/>
        </c:manualLayout>
      </c:layout>
      <c:overlay val="0"/>
      <c:spPr>
        <a:noFill/>
        <a:ln>
          <a:noFill/>
        </a:ln>
        <a:effectLst/>
      </c:spPr>
      <c:txPr>
        <a:bodyPr rot="0" vert="horz"/>
        <a:lstStyle/>
        <a:p>
          <a:pPr>
            <a:defRPr>
              <a:solidFill>
                <a:schemeClr val="bg1">
                  <a:lumMod val="50000"/>
                </a:schemeClr>
              </a:solidFill>
            </a:defRPr>
          </a:pPr>
          <a:endParaRPr lang="uk-UA"/>
        </a:p>
      </c:txPr>
    </c:legend>
    <c:plotVisOnly val="1"/>
    <c:dispBlanksAs val="gap"/>
    <c:showDLblsOverMax val="0"/>
  </c:chart>
  <c:spPr>
    <a:solidFill>
      <a:schemeClr val="bg1"/>
    </a:solidFill>
    <a:ln w="9525" cap="flat" cmpd="sng" algn="ctr">
      <a:noFill/>
      <a:round/>
    </a:ln>
    <a:effectLst/>
  </c:spPr>
  <c:txPr>
    <a:bodyPr/>
    <a:lstStyle/>
    <a:p>
      <a:pPr>
        <a:defRPr sz="900"/>
      </a:pPr>
      <a:endParaRPr lang="uk-UA"/>
    </a:p>
  </c:txPr>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7569898781488654E-2"/>
          <c:y val="8.5769980506822607E-2"/>
          <c:w val="0.88847726181569286"/>
          <c:h val="0.55498334637994817"/>
        </c:manualLayout>
      </c:layout>
      <c:barChart>
        <c:barDir val="col"/>
        <c:grouping val="clustered"/>
        <c:varyColors val="0"/>
        <c:ser>
          <c:idx val="0"/>
          <c:order val="0"/>
          <c:tx>
            <c:strRef>
              <c:f>Підсумки!$A$125</c:f>
              <c:strCache>
                <c:ptCount val="1"/>
                <c:pt idx="0">
                  <c:v>Базовий сценарій</c:v>
                </c:pt>
              </c:strCache>
            </c:strRef>
          </c:tx>
          <c:spPr>
            <a:solidFill>
              <a:srgbClr val="FFC000"/>
            </a:solidFill>
            <a:ln>
              <a:noFill/>
            </a:ln>
            <a:effectLst/>
          </c:spPr>
          <c:invertIfNegative val="0"/>
          <c:cat>
            <c:numRef>
              <c:f>Підсумки!$C$124:$I$124</c:f>
              <c:numCache>
                <c:formatCode>General</c:formatCode>
                <c:ptCount val="7"/>
                <c:pt idx="0">
                  <c:v>2018</c:v>
                </c:pt>
                <c:pt idx="1">
                  <c:v>2019</c:v>
                </c:pt>
                <c:pt idx="2">
                  <c:v>2020</c:v>
                </c:pt>
                <c:pt idx="3">
                  <c:v>2021</c:v>
                </c:pt>
                <c:pt idx="4">
                  <c:v>2022</c:v>
                </c:pt>
                <c:pt idx="5">
                  <c:v>2023</c:v>
                </c:pt>
                <c:pt idx="6">
                  <c:v>2024</c:v>
                </c:pt>
              </c:numCache>
            </c:numRef>
          </c:cat>
          <c:val>
            <c:numRef>
              <c:f>Підсумки!$C$125:$I$125</c:f>
              <c:numCache>
                <c:formatCode>0.00%</c:formatCode>
                <c:ptCount val="7"/>
                <c:pt idx="0">
                  <c:v>0.60259627925433512</c:v>
                </c:pt>
                <c:pt idx="1">
                  <c:v>0.41830632060937833</c:v>
                </c:pt>
                <c:pt idx="2">
                  <c:v>0.87221686288868827</c:v>
                </c:pt>
                <c:pt idx="3">
                  <c:v>0.85398328591407668</c:v>
                </c:pt>
                <c:pt idx="4">
                  <c:v>0.7886931042038986</c:v>
                </c:pt>
                <c:pt idx="5">
                  <c:v>0.71467331106399967</c:v>
                </c:pt>
                <c:pt idx="6">
                  <c:v>0.61582721931496587</c:v>
                </c:pt>
              </c:numCache>
            </c:numRef>
          </c:val>
          <c:extLst>
            <c:ext xmlns:c16="http://schemas.microsoft.com/office/drawing/2014/chart" uri="{C3380CC4-5D6E-409C-BE32-E72D297353CC}">
              <c16:uniqueId val="{00000000-8F4C-4406-B15D-069673482192}"/>
            </c:ext>
          </c:extLst>
        </c:ser>
        <c:ser>
          <c:idx val="1"/>
          <c:order val="1"/>
          <c:tx>
            <c:strRef>
              <c:f>Підсумки!$A$126</c:f>
              <c:strCache>
                <c:ptCount val="1"/>
                <c:pt idx="0">
                  <c:v>Песимістичний сценарій</c:v>
                </c:pt>
              </c:strCache>
            </c:strRef>
          </c:tx>
          <c:spPr>
            <a:solidFill>
              <a:schemeClr val="bg1">
                <a:lumMod val="50000"/>
              </a:schemeClr>
            </a:solidFill>
            <a:ln>
              <a:noFill/>
            </a:ln>
            <a:effectLst/>
          </c:spPr>
          <c:invertIfNegative val="0"/>
          <c:cat>
            <c:numRef>
              <c:f>Підсумки!$C$124:$I$124</c:f>
              <c:numCache>
                <c:formatCode>General</c:formatCode>
                <c:ptCount val="7"/>
                <c:pt idx="0">
                  <c:v>2018</c:v>
                </c:pt>
                <c:pt idx="1">
                  <c:v>2019</c:v>
                </c:pt>
                <c:pt idx="2">
                  <c:v>2020</c:v>
                </c:pt>
                <c:pt idx="3">
                  <c:v>2021</c:v>
                </c:pt>
                <c:pt idx="4">
                  <c:v>2022</c:v>
                </c:pt>
                <c:pt idx="5">
                  <c:v>2023</c:v>
                </c:pt>
                <c:pt idx="6">
                  <c:v>2024</c:v>
                </c:pt>
              </c:numCache>
            </c:numRef>
          </c:cat>
          <c:val>
            <c:numRef>
              <c:f>Підсумки!$C$126:$I$126</c:f>
              <c:numCache>
                <c:formatCode>0.00%</c:formatCode>
                <c:ptCount val="7"/>
                <c:pt idx="0">
                  <c:v>0.60259627925433512</c:v>
                </c:pt>
                <c:pt idx="1">
                  <c:v>0.41830632060937833</c:v>
                </c:pt>
                <c:pt idx="2">
                  <c:v>0.87221686288868827</c:v>
                </c:pt>
                <c:pt idx="3">
                  <c:v>0.85104541338123141</c:v>
                </c:pt>
                <c:pt idx="4">
                  <c:v>0.90710649591746451</c:v>
                </c:pt>
                <c:pt idx="5">
                  <c:v>1.0325044028906418</c:v>
                </c:pt>
                <c:pt idx="6">
                  <c:v>1.4140692268790089</c:v>
                </c:pt>
              </c:numCache>
            </c:numRef>
          </c:val>
          <c:extLst>
            <c:ext xmlns:c16="http://schemas.microsoft.com/office/drawing/2014/chart" uri="{C3380CC4-5D6E-409C-BE32-E72D297353CC}">
              <c16:uniqueId val="{00000001-8F4C-4406-B15D-069673482192}"/>
            </c:ext>
          </c:extLst>
        </c:ser>
        <c:dLbls>
          <c:showLegendKey val="0"/>
          <c:showVal val="0"/>
          <c:showCatName val="0"/>
          <c:showSerName val="0"/>
          <c:showPercent val="0"/>
          <c:showBubbleSize val="0"/>
        </c:dLbls>
        <c:gapWidth val="75"/>
        <c:axId val="378389200"/>
        <c:axId val="378394688"/>
      </c:barChart>
      <c:catAx>
        <c:axId val="378389200"/>
        <c:scaling>
          <c:orientation val="minMax"/>
        </c:scaling>
        <c:delete val="0"/>
        <c:axPos val="b"/>
        <c:numFmt formatCode="General" sourceLinked="1"/>
        <c:majorTickMark val="none"/>
        <c:minorTickMark val="none"/>
        <c:tickLblPos val="low"/>
        <c:spPr>
          <a:noFill/>
          <a:ln w="9525" cap="flat" cmpd="sng" algn="ctr">
            <a:solidFill>
              <a:schemeClr val="bg1">
                <a:lumMod val="65000"/>
              </a:schemeClr>
            </a:solidFill>
            <a:round/>
          </a:ln>
          <a:effectLst/>
        </c:spPr>
        <c:txPr>
          <a:bodyPr rot="-60000000" vert="horz"/>
          <a:lstStyle/>
          <a:p>
            <a:pPr>
              <a:defRPr/>
            </a:pPr>
            <a:endParaRPr lang="uk-UA"/>
          </a:p>
        </c:txPr>
        <c:crossAx val="378394688"/>
        <c:crosses val="autoZero"/>
        <c:auto val="1"/>
        <c:lblAlgn val="ctr"/>
        <c:lblOffset val="100"/>
        <c:noMultiLvlLbl val="0"/>
      </c:catAx>
      <c:valAx>
        <c:axId val="378394688"/>
        <c:scaling>
          <c:orientation val="minMax"/>
          <c:max val="1.5"/>
        </c:scaling>
        <c:delete val="0"/>
        <c:axPos val="l"/>
        <c:numFmt formatCode="0%" sourceLinked="0"/>
        <c:majorTickMark val="none"/>
        <c:minorTickMark val="none"/>
        <c:tickLblPos val="nextTo"/>
        <c:spPr>
          <a:noFill/>
          <a:ln>
            <a:solidFill>
              <a:schemeClr val="bg1">
                <a:lumMod val="65000"/>
              </a:schemeClr>
            </a:solidFill>
          </a:ln>
          <a:effectLst/>
        </c:spPr>
        <c:txPr>
          <a:bodyPr rot="-60000000" vert="horz"/>
          <a:lstStyle/>
          <a:p>
            <a:pPr>
              <a:defRPr>
                <a:solidFill>
                  <a:schemeClr val="bg1">
                    <a:lumMod val="50000"/>
                  </a:schemeClr>
                </a:solidFill>
              </a:defRPr>
            </a:pPr>
            <a:endParaRPr lang="uk-UA"/>
          </a:p>
        </c:txPr>
        <c:crossAx val="378389200"/>
        <c:crosses val="autoZero"/>
        <c:crossBetween val="between"/>
      </c:valAx>
      <c:spPr>
        <a:noFill/>
        <a:ln>
          <a:solidFill>
            <a:schemeClr val="bg1">
              <a:lumMod val="65000"/>
            </a:schemeClr>
          </a:solidFill>
        </a:ln>
        <a:effectLst/>
      </c:spPr>
    </c:plotArea>
    <c:legend>
      <c:legendPos val="b"/>
      <c:layout>
        <c:manualLayout>
          <c:xMode val="edge"/>
          <c:yMode val="edge"/>
          <c:x val="9.6026516986758001E-2"/>
          <c:y val="0.82163650596307036"/>
          <c:w val="0.87492037543025836"/>
          <c:h val="0.13157986830593543"/>
        </c:manualLayout>
      </c:layout>
      <c:overlay val="0"/>
      <c:spPr>
        <a:noFill/>
        <a:ln>
          <a:noFill/>
        </a:ln>
        <a:effectLst/>
      </c:spPr>
      <c:txPr>
        <a:bodyPr rot="0" vert="horz"/>
        <a:lstStyle/>
        <a:p>
          <a:pPr>
            <a:defRPr>
              <a:solidFill>
                <a:schemeClr val="bg1">
                  <a:lumMod val="50000"/>
                </a:schemeClr>
              </a:solidFill>
            </a:defRPr>
          </a:pPr>
          <a:endParaRPr lang="uk-UA"/>
        </a:p>
      </c:txPr>
    </c:legend>
    <c:plotVisOnly val="1"/>
    <c:dispBlanksAs val="gap"/>
    <c:showDLblsOverMax val="0"/>
  </c:chart>
  <c:spPr>
    <a:solidFill>
      <a:schemeClr val="bg1"/>
    </a:solidFill>
    <a:ln w="9525" cap="flat" cmpd="sng" algn="ctr">
      <a:noFill/>
      <a:round/>
    </a:ln>
    <a:effectLst/>
  </c:spPr>
  <c:txPr>
    <a:bodyPr/>
    <a:lstStyle/>
    <a:p>
      <a:pPr>
        <a:defRPr sz="900"/>
      </a:pPr>
      <a:endParaRPr lang="uk-UA"/>
    </a:p>
  </c:txPr>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7085814555268039"/>
          <c:y val="7.7876106194690264E-2"/>
          <c:w val="0.79811223526537323"/>
          <c:h val="0.66673709149188209"/>
        </c:manualLayout>
      </c:layout>
      <c:barChart>
        <c:barDir val="col"/>
        <c:grouping val="clustered"/>
        <c:varyColors val="0"/>
        <c:ser>
          <c:idx val="0"/>
          <c:order val="0"/>
          <c:tx>
            <c:strRef>
              <c:f>Підсумки!$A$226</c:f>
              <c:strCache>
                <c:ptCount val="1"/>
                <c:pt idx="0">
                  <c:v>Базовий сценарій</c:v>
                </c:pt>
              </c:strCache>
            </c:strRef>
          </c:tx>
          <c:spPr>
            <a:solidFill>
              <a:srgbClr val="FFC000"/>
            </a:solidFill>
            <a:ln>
              <a:noFill/>
            </a:ln>
            <a:effectLst/>
          </c:spPr>
          <c:invertIfNegative val="0"/>
          <c:cat>
            <c:numRef>
              <c:f>Підсумки!$C$225:$I$225</c:f>
              <c:numCache>
                <c:formatCode>General</c:formatCode>
                <c:ptCount val="7"/>
                <c:pt idx="0">
                  <c:v>2018</c:v>
                </c:pt>
                <c:pt idx="1">
                  <c:v>2019</c:v>
                </c:pt>
                <c:pt idx="2">
                  <c:v>2020</c:v>
                </c:pt>
                <c:pt idx="3">
                  <c:v>2021</c:v>
                </c:pt>
                <c:pt idx="4">
                  <c:v>2022</c:v>
                </c:pt>
                <c:pt idx="5">
                  <c:v>2023</c:v>
                </c:pt>
                <c:pt idx="6">
                  <c:v>2024</c:v>
                </c:pt>
              </c:numCache>
            </c:numRef>
          </c:cat>
          <c:val>
            <c:numRef>
              <c:f>Підсумки!$C$226:$I$226</c:f>
              <c:numCache>
                <c:formatCode>#\ ##0;\(#\ ##0\)</c:formatCode>
                <c:ptCount val="7"/>
                <c:pt idx="0">
                  <c:v>4631.8279999999932</c:v>
                </c:pt>
                <c:pt idx="1">
                  <c:v>3773.641000000001</c:v>
                </c:pt>
                <c:pt idx="2">
                  <c:v>-4845.2079999999996</c:v>
                </c:pt>
                <c:pt idx="3">
                  <c:v>788.21400604700648</c:v>
                </c:pt>
                <c:pt idx="4">
                  <c:v>4237.849970842778</c:v>
                </c:pt>
                <c:pt idx="5">
                  <c:v>7833.7629972554732</c:v>
                </c:pt>
                <c:pt idx="6">
                  <c:v>10054.685443535293</c:v>
                </c:pt>
              </c:numCache>
            </c:numRef>
          </c:val>
          <c:extLst>
            <c:ext xmlns:c16="http://schemas.microsoft.com/office/drawing/2014/chart" uri="{C3380CC4-5D6E-409C-BE32-E72D297353CC}">
              <c16:uniqueId val="{00000000-BFFC-4185-952D-440B1847FF12}"/>
            </c:ext>
          </c:extLst>
        </c:ser>
        <c:ser>
          <c:idx val="1"/>
          <c:order val="1"/>
          <c:tx>
            <c:strRef>
              <c:f>Підсумки!$A$227</c:f>
              <c:strCache>
                <c:ptCount val="1"/>
                <c:pt idx="0">
                  <c:v>Песимістичний сценарій</c:v>
                </c:pt>
              </c:strCache>
            </c:strRef>
          </c:tx>
          <c:spPr>
            <a:solidFill>
              <a:schemeClr val="bg1">
                <a:lumMod val="50000"/>
              </a:schemeClr>
            </a:solidFill>
            <a:ln>
              <a:noFill/>
            </a:ln>
            <a:effectLst/>
          </c:spPr>
          <c:invertIfNegative val="0"/>
          <c:cat>
            <c:numRef>
              <c:f>Підсумки!$C$225:$I$225</c:f>
              <c:numCache>
                <c:formatCode>General</c:formatCode>
                <c:ptCount val="7"/>
                <c:pt idx="0">
                  <c:v>2018</c:v>
                </c:pt>
                <c:pt idx="1">
                  <c:v>2019</c:v>
                </c:pt>
                <c:pt idx="2">
                  <c:v>2020</c:v>
                </c:pt>
                <c:pt idx="3">
                  <c:v>2021</c:v>
                </c:pt>
                <c:pt idx="4">
                  <c:v>2022</c:v>
                </c:pt>
                <c:pt idx="5">
                  <c:v>2023</c:v>
                </c:pt>
                <c:pt idx="6">
                  <c:v>2024</c:v>
                </c:pt>
              </c:numCache>
            </c:numRef>
          </c:cat>
          <c:val>
            <c:numRef>
              <c:f>Підсумки!$C$227:$I$227</c:f>
              <c:numCache>
                <c:formatCode>#\ ##0;\(#\ ##0\)</c:formatCode>
                <c:ptCount val="7"/>
                <c:pt idx="0">
                  <c:v>4631.8279999999932</c:v>
                </c:pt>
                <c:pt idx="1">
                  <c:v>3773.641000000001</c:v>
                </c:pt>
                <c:pt idx="2">
                  <c:v>-4845.2079999999996</c:v>
                </c:pt>
                <c:pt idx="3">
                  <c:v>-1125.4361379417164</c:v>
                </c:pt>
                <c:pt idx="4">
                  <c:v>-541.72271369197188</c:v>
                </c:pt>
                <c:pt idx="5">
                  <c:v>1374.6470342343914</c:v>
                </c:pt>
                <c:pt idx="6">
                  <c:v>3334.7773377211097</c:v>
                </c:pt>
              </c:numCache>
            </c:numRef>
          </c:val>
          <c:extLst>
            <c:ext xmlns:c16="http://schemas.microsoft.com/office/drawing/2014/chart" uri="{C3380CC4-5D6E-409C-BE32-E72D297353CC}">
              <c16:uniqueId val="{00000001-BFFC-4185-952D-440B1847FF12}"/>
            </c:ext>
          </c:extLst>
        </c:ser>
        <c:dLbls>
          <c:showLegendKey val="0"/>
          <c:showVal val="0"/>
          <c:showCatName val="0"/>
          <c:showSerName val="0"/>
          <c:showPercent val="0"/>
          <c:showBubbleSize val="0"/>
        </c:dLbls>
        <c:gapWidth val="75"/>
        <c:axId val="378388024"/>
        <c:axId val="378388416"/>
      </c:barChart>
      <c:catAx>
        <c:axId val="378388024"/>
        <c:scaling>
          <c:orientation val="minMax"/>
        </c:scaling>
        <c:delete val="0"/>
        <c:axPos val="b"/>
        <c:numFmt formatCode="General" sourceLinked="1"/>
        <c:majorTickMark val="none"/>
        <c:minorTickMark val="none"/>
        <c:tickLblPos val="low"/>
        <c:spPr>
          <a:noFill/>
          <a:ln w="9525" cap="flat" cmpd="sng" algn="ctr">
            <a:solidFill>
              <a:schemeClr val="bg1">
                <a:lumMod val="6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378388416"/>
        <c:crosses val="autoZero"/>
        <c:auto val="1"/>
        <c:lblAlgn val="ctr"/>
        <c:lblOffset val="100"/>
        <c:noMultiLvlLbl val="0"/>
      </c:catAx>
      <c:valAx>
        <c:axId val="378388416"/>
        <c:scaling>
          <c:orientation val="minMax"/>
        </c:scaling>
        <c:delete val="0"/>
        <c:axPos val="l"/>
        <c:title>
          <c:tx>
            <c:rich>
              <a:bodyPr/>
              <a:lstStyle/>
              <a:p>
                <a:pPr>
                  <a:defRPr sz="900">
                    <a:solidFill>
                      <a:schemeClr val="tx1">
                        <a:lumMod val="65000"/>
                        <a:lumOff val="35000"/>
                      </a:schemeClr>
                    </a:solidFill>
                  </a:defRPr>
                </a:pPr>
                <a:r>
                  <a:rPr lang="uk-UA" sz="900" b="0" i="0" baseline="0">
                    <a:solidFill>
                      <a:schemeClr val="tx1">
                        <a:lumMod val="65000"/>
                        <a:lumOff val="35000"/>
                      </a:schemeClr>
                    </a:solidFill>
                    <a:effectLst/>
                  </a:rPr>
                  <a:t>млн гривень</a:t>
                </a:r>
                <a:endParaRPr lang="uk-UA" sz="900">
                  <a:solidFill>
                    <a:schemeClr val="tx1">
                      <a:lumMod val="65000"/>
                      <a:lumOff val="35000"/>
                    </a:schemeClr>
                  </a:solidFill>
                  <a:effectLst/>
                </a:endParaRPr>
              </a:p>
            </c:rich>
          </c:tx>
          <c:overlay val="0"/>
        </c:title>
        <c:numFmt formatCode="#\ ##0;\(#\ ##0\)" sourceLinked="1"/>
        <c:majorTickMark val="none"/>
        <c:minorTickMark val="none"/>
        <c:tickLblPos val="nextTo"/>
        <c:spPr>
          <a:noFill/>
          <a:ln>
            <a:solidFill>
              <a:schemeClr val="bg1">
                <a:lumMod val="65000"/>
              </a:schemeClr>
            </a:solid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378388024"/>
        <c:crosses val="autoZero"/>
        <c:crossBetween val="between"/>
        <c:majorUnit val="3000"/>
      </c:valAx>
      <c:spPr>
        <a:noFill/>
        <a:ln>
          <a:solidFill>
            <a:schemeClr val="bg1">
              <a:lumMod val="65000"/>
            </a:schemeClr>
          </a:solidFill>
        </a:ln>
        <a:effectLst/>
      </c:spPr>
    </c:plotArea>
    <c:legend>
      <c:legendPos val="b"/>
      <c:layout>
        <c:manualLayout>
          <c:xMode val="edge"/>
          <c:yMode val="edge"/>
          <c:x val="0.19601168330686453"/>
          <c:y val="0.88053013727266394"/>
          <c:w val="0.61361838232844312"/>
          <c:h val="0.11946986272733608"/>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noFill/>
      <a:round/>
    </a:ln>
    <a:effectLst/>
  </c:spPr>
  <c:txPr>
    <a:bodyPr/>
    <a:lstStyle/>
    <a:p>
      <a:pPr>
        <a:defRPr/>
      </a:pPr>
      <a:endParaRPr lang="uk-UA"/>
    </a:p>
  </c:txPr>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475566609917003"/>
          <c:y val="8.6887835703001584E-2"/>
          <c:w val="0.88679838795488386"/>
          <c:h val="0.58876381831581392"/>
        </c:manualLayout>
      </c:layout>
      <c:barChart>
        <c:barDir val="col"/>
        <c:grouping val="clustered"/>
        <c:varyColors val="0"/>
        <c:ser>
          <c:idx val="0"/>
          <c:order val="0"/>
          <c:tx>
            <c:strRef>
              <c:f>Підсумки!$A$125</c:f>
              <c:strCache>
                <c:ptCount val="1"/>
                <c:pt idx="0">
                  <c:v>Базовий сценарій</c:v>
                </c:pt>
              </c:strCache>
            </c:strRef>
          </c:tx>
          <c:spPr>
            <a:solidFill>
              <a:srgbClr val="FFC000"/>
            </a:solidFill>
            <a:ln>
              <a:noFill/>
            </a:ln>
            <a:effectLst/>
          </c:spPr>
          <c:invertIfNegative val="0"/>
          <c:cat>
            <c:numRef>
              <c:f>Підсумки!$C$124:$I$124</c:f>
              <c:numCache>
                <c:formatCode>General</c:formatCode>
                <c:ptCount val="7"/>
                <c:pt idx="0">
                  <c:v>2018</c:v>
                </c:pt>
                <c:pt idx="1">
                  <c:v>2019</c:v>
                </c:pt>
                <c:pt idx="2">
                  <c:v>2020</c:v>
                </c:pt>
                <c:pt idx="3">
                  <c:v>2021</c:v>
                </c:pt>
                <c:pt idx="4">
                  <c:v>2022</c:v>
                </c:pt>
                <c:pt idx="5">
                  <c:v>2023</c:v>
                </c:pt>
                <c:pt idx="6">
                  <c:v>2024</c:v>
                </c:pt>
              </c:numCache>
            </c:numRef>
          </c:cat>
          <c:val>
            <c:numRef>
              <c:f>Підсумки!$C$125:$I$125</c:f>
              <c:numCache>
                <c:formatCode>0.00%</c:formatCode>
                <c:ptCount val="7"/>
                <c:pt idx="0">
                  <c:v>0.39611621660489044</c:v>
                </c:pt>
                <c:pt idx="1">
                  <c:v>0.38719808212337126</c:v>
                </c:pt>
                <c:pt idx="2">
                  <c:v>0.47738759571435896</c:v>
                </c:pt>
                <c:pt idx="3">
                  <c:v>0.50772277149440403</c:v>
                </c:pt>
                <c:pt idx="4">
                  <c:v>0.50333030753837127</c:v>
                </c:pt>
                <c:pt idx="5">
                  <c:v>0.49624738654846845</c:v>
                </c:pt>
                <c:pt idx="6">
                  <c:v>0.48605741578508976</c:v>
                </c:pt>
              </c:numCache>
            </c:numRef>
          </c:val>
          <c:extLst>
            <c:ext xmlns:c16="http://schemas.microsoft.com/office/drawing/2014/chart" uri="{C3380CC4-5D6E-409C-BE32-E72D297353CC}">
              <c16:uniqueId val="{00000000-07F1-43EF-85F3-112247256C37}"/>
            </c:ext>
          </c:extLst>
        </c:ser>
        <c:ser>
          <c:idx val="1"/>
          <c:order val="1"/>
          <c:tx>
            <c:strRef>
              <c:f>Підсумки!$A$126</c:f>
              <c:strCache>
                <c:ptCount val="1"/>
                <c:pt idx="0">
                  <c:v>Песимістичний сценарій</c:v>
                </c:pt>
              </c:strCache>
            </c:strRef>
          </c:tx>
          <c:spPr>
            <a:solidFill>
              <a:schemeClr val="bg1">
                <a:lumMod val="50000"/>
              </a:schemeClr>
            </a:solidFill>
            <a:ln>
              <a:noFill/>
            </a:ln>
            <a:effectLst/>
          </c:spPr>
          <c:invertIfNegative val="0"/>
          <c:cat>
            <c:numRef>
              <c:f>Підсумки!$C$124:$I$124</c:f>
              <c:numCache>
                <c:formatCode>General</c:formatCode>
                <c:ptCount val="7"/>
                <c:pt idx="0">
                  <c:v>2018</c:v>
                </c:pt>
                <c:pt idx="1">
                  <c:v>2019</c:v>
                </c:pt>
                <c:pt idx="2">
                  <c:v>2020</c:v>
                </c:pt>
                <c:pt idx="3">
                  <c:v>2021</c:v>
                </c:pt>
                <c:pt idx="4">
                  <c:v>2022</c:v>
                </c:pt>
                <c:pt idx="5">
                  <c:v>2023</c:v>
                </c:pt>
                <c:pt idx="6">
                  <c:v>2024</c:v>
                </c:pt>
              </c:numCache>
            </c:numRef>
          </c:cat>
          <c:val>
            <c:numRef>
              <c:f>Підсумки!$C$126:$I$126</c:f>
              <c:numCache>
                <c:formatCode>0.00%</c:formatCode>
                <c:ptCount val="7"/>
                <c:pt idx="0">
                  <c:v>0.39611621660489044</c:v>
                </c:pt>
                <c:pt idx="1">
                  <c:v>0.38719808212337126</c:v>
                </c:pt>
                <c:pt idx="2">
                  <c:v>0.47738759571435896</c:v>
                </c:pt>
                <c:pt idx="3">
                  <c:v>0.50493747934861866</c:v>
                </c:pt>
                <c:pt idx="4">
                  <c:v>0.50208746804442572</c:v>
                </c:pt>
                <c:pt idx="5">
                  <c:v>0.50093229464865685</c:v>
                </c:pt>
                <c:pt idx="6">
                  <c:v>0.50024534491298644</c:v>
                </c:pt>
              </c:numCache>
            </c:numRef>
          </c:val>
          <c:extLst>
            <c:ext xmlns:c16="http://schemas.microsoft.com/office/drawing/2014/chart" uri="{C3380CC4-5D6E-409C-BE32-E72D297353CC}">
              <c16:uniqueId val="{00000001-07F1-43EF-85F3-112247256C37}"/>
            </c:ext>
          </c:extLst>
        </c:ser>
        <c:dLbls>
          <c:showLegendKey val="0"/>
          <c:showVal val="0"/>
          <c:showCatName val="0"/>
          <c:showSerName val="0"/>
          <c:showPercent val="0"/>
          <c:showBubbleSize val="0"/>
        </c:dLbls>
        <c:gapWidth val="75"/>
        <c:axId val="378389200"/>
        <c:axId val="378394688"/>
      </c:barChart>
      <c:catAx>
        <c:axId val="378389200"/>
        <c:scaling>
          <c:orientation val="minMax"/>
        </c:scaling>
        <c:delete val="0"/>
        <c:axPos val="b"/>
        <c:numFmt formatCode="General" sourceLinked="1"/>
        <c:majorTickMark val="none"/>
        <c:minorTickMark val="none"/>
        <c:tickLblPos val="low"/>
        <c:spPr>
          <a:noFill/>
          <a:ln w="9525" cap="flat" cmpd="sng" algn="ctr">
            <a:solidFill>
              <a:schemeClr val="bg1">
                <a:lumMod val="6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378394688"/>
        <c:crosses val="autoZero"/>
        <c:auto val="1"/>
        <c:lblAlgn val="ctr"/>
        <c:lblOffset val="100"/>
        <c:noMultiLvlLbl val="0"/>
      </c:catAx>
      <c:valAx>
        <c:axId val="378394688"/>
        <c:scaling>
          <c:orientation val="minMax"/>
        </c:scaling>
        <c:delete val="0"/>
        <c:axPos val="l"/>
        <c:numFmt formatCode="0%" sourceLinked="0"/>
        <c:majorTickMark val="none"/>
        <c:minorTickMark val="none"/>
        <c:tickLblPos val="nextTo"/>
        <c:spPr>
          <a:noFill/>
          <a:ln>
            <a:solidFill>
              <a:schemeClr val="bg1">
                <a:lumMod val="65000"/>
              </a:schemeClr>
            </a:solid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378389200"/>
        <c:crosses val="autoZero"/>
        <c:crossBetween val="between"/>
      </c:valAx>
      <c:spPr>
        <a:noFill/>
        <a:ln>
          <a:solidFill>
            <a:schemeClr val="bg1">
              <a:lumMod val="65000"/>
            </a:schemeClr>
          </a:solidFill>
        </a:ln>
        <a:effectLst/>
      </c:spPr>
    </c:plotArea>
    <c:legend>
      <c:legendPos val="b"/>
      <c:layout>
        <c:manualLayout>
          <c:xMode val="edge"/>
          <c:yMode val="edge"/>
          <c:x val="0.19379544406611335"/>
          <c:y val="0.86670522819718621"/>
          <c:w val="0.61240911186777325"/>
          <c:h val="0.13329477180281374"/>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noFill/>
      <a:round/>
    </a:ln>
    <a:effectLst/>
  </c:spPr>
  <c:txPr>
    <a:bodyPr/>
    <a:lstStyle/>
    <a:p>
      <a:pPr>
        <a:defRPr/>
      </a:pPr>
      <a:endParaRPr lang="uk-UA"/>
    </a:p>
  </c:txPr>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2526352363378543E-2"/>
          <c:y val="7.1544715447154475E-2"/>
          <c:w val="0.92793280088647234"/>
          <c:h val="0.61654413135233421"/>
        </c:manualLayout>
      </c:layout>
      <c:barChart>
        <c:barDir val="col"/>
        <c:grouping val="clustered"/>
        <c:varyColors val="0"/>
        <c:ser>
          <c:idx val="0"/>
          <c:order val="0"/>
          <c:tx>
            <c:strRef>
              <c:f>Підсумки!$A$176</c:f>
              <c:strCache>
                <c:ptCount val="1"/>
                <c:pt idx="0">
                  <c:v>Базовий сценарій</c:v>
                </c:pt>
              </c:strCache>
            </c:strRef>
          </c:tx>
          <c:spPr>
            <a:solidFill>
              <a:srgbClr val="FFC000"/>
            </a:solidFill>
            <a:ln>
              <a:noFill/>
            </a:ln>
            <a:effectLst/>
          </c:spPr>
          <c:invertIfNegative val="0"/>
          <c:cat>
            <c:numRef>
              <c:f>Підсумки!$C$175:$I$175</c:f>
              <c:numCache>
                <c:formatCode>General</c:formatCode>
                <c:ptCount val="7"/>
                <c:pt idx="0">
                  <c:v>2018</c:v>
                </c:pt>
                <c:pt idx="1">
                  <c:v>2019</c:v>
                </c:pt>
                <c:pt idx="2">
                  <c:v>2020</c:v>
                </c:pt>
                <c:pt idx="3">
                  <c:v>2021</c:v>
                </c:pt>
                <c:pt idx="4">
                  <c:v>2022</c:v>
                </c:pt>
                <c:pt idx="5">
                  <c:v>2023</c:v>
                </c:pt>
                <c:pt idx="6">
                  <c:v>2024</c:v>
                </c:pt>
              </c:numCache>
            </c:numRef>
          </c:cat>
          <c:val>
            <c:numRef>
              <c:f>Підсумки!$C$176:$I$176</c:f>
              <c:numCache>
                <c:formatCode>0.00</c:formatCode>
                <c:ptCount val="7"/>
                <c:pt idx="0">
                  <c:v>1.1779219086109118</c:v>
                </c:pt>
                <c:pt idx="1">
                  <c:v>1.0274318850844382</c:v>
                </c:pt>
                <c:pt idx="2">
                  <c:v>1.039302334144961</c:v>
                </c:pt>
                <c:pt idx="3">
                  <c:v>1.4098639030314009</c:v>
                </c:pt>
                <c:pt idx="4">
                  <c:v>1.3371703883182326</c:v>
                </c:pt>
                <c:pt idx="5">
                  <c:v>1.331112913474799</c:v>
                </c:pt>
                <c:pt idx="6">
                  <c:v>1.3887787596091739</c:v>
                </c:pt>
              </c:numCache>
            </c:numRef>
          </c:val>
          <c:extLst>
            <c:ext xmlns:c16="http://schemas.microsoft.com/office/drawing/2014/chart" uri="{C3380CC4-5D6E-409C-BE32-E72D297353CC}">
              <c16:uniqueId val="{00000000-3062-4057-9DB3-41B9B13597B4}"/>
            </c:ext>
          </c:extLst>
        </c:ser>
        <c:ser>
          <c:idx val="1"/>
          <c:order val="1"/>
          <c:tx>
            <c:strRef>
              <c:f>Підсумки!$A$177</c:f>
              <c:strCache>
                <c:ptCount val="1"/>
                <c:pt idx="0">
                  <c:v>Песимістичний сценарій</c:v>
                </c:pt>
              </c:strCache>
            </c:strRef>
          </c:tx>
          <c:spPr>
            <a:solidFill>
              <a:schemeClr val="bg1">
                <a:lumMod val="50000"/>
              </a:schemeClr>
            </a:solidFill>
            <a:ln>
              <a:noFill/>
            </a:ln>
            <a:effectLst/>
          </c:spPr>
          <c:invertIfNegative val="0"/>
          <c:cat>
            <c:numRef>
              <c:f>Підсумки!$C$175:$I$175</c:f>
              <c:numCache>
                <c:formatCode>General</c:formatCode>
                <c:ptCount val="7"/>
                <c:pt idx="0">
                  <c:v>2018</c:v>
                </c:pt>
                <c:pt idx="1">
                  <c:v>2019</c:v>
                </c:pt>
                <c:pt idx="2">
                  <c:v>2020</c:v>
                </c:pt>
                <c:pt idx="3">
                  <c:v>2021</c:v>
                </c:pt>
                <c:pt idx="4">
                  <c:v>2022</c:v>
                </c:pt>
                <c:pt idx="5">
                  <c:v>2023</c:v>
                </c:pt>
                <c:pt idx="6">
                  <c:v>2024</c:v>
                </c:pt>
              </c:numCache>
            </c:numRef>
          </c:cat>
          <c:val>
            <c:numRef>
              <c:f>Підсумки!$C$177:$I$177</c:f>
              <c:numCache>
                <c:formatCode>0.00</c:formatCode>
                <c:ptCount val="7"/>
                <c:pt idx="0">
                  <c:v>1.1779219086109118</c:v>
                </c:pt>
                <c:pt idx="1">
                  <c:v>1.0274318850844382</c:v>
                </c:pt>
                <c:pt idx="2">
                  <c:v>1.039302334144961</c:v>
                </c:pt>
                <c:pt idx="3">
                  <c:v>1.4331031171057673</c:v>
                </c:pt>
                <c:pt idx="4">
                  <c:v>1.2892352024986642</c:v>
                </c:pt>
                <c:pt idx="5">
                  <c:v>1.1800324834474287</c:v>
                </c:pt>
                <c:pt idx="6">
                  <c:v>1.0920414048979026</c:v>
                </c:pt>
              </c:numCache>
            </c:numRef>
          </c:val>
          <c:extLst>
            <c:ext xmlns:c16="http://schemas.microsoft.com/office/drawing/2014/chart" uri="{C3380CC4-5D6E-409C-BE32-E72D297353CC}">
              <c16:uniqueId val="{00000001-3062-4057-9DB3-41B9B13597B4}"/>
            </c:ext>
          </c:extLst>
        </c:ser>
        <c:dLbls>
          <c:showLegendKey val="0"/>
          <c:showVal val="0"/>
          <c:showCatName val="0"/>
          <c:showSerName val="0"/>
          <c:showPercent val="0"/>
          <c:showBubbleSize val="0"/>
        </c:dLbls>
        <c:gapWidth val="75"/>
        <c:axId val="378389592"/>
        <c:axId val="378391944"/>
      </c:barChart>
      <c:catAx>
        <c:axId val="378389592"/>
        <c:scaling>
          <c:orientation val="minMax"/>
        </c:scaling>
        <c:delete val="0"/>
        <c:axPos val="b"/>
        <c:numFmt formatCode="General" sourceLinked="1"/>
        <c:majorTickMark val="none"/>
        <c:minorTickMark val="none"/>
        <c:tickLblPos val="low"/>
        <c:spPr>
          <a:noFill/>
          <a:ln w="9525" cap="flat" cmpd="sng" algn="ctr">
            <a:solidFill>
              <a:schemeClr val="bg1">
                <a:lumMod val="65000"/>
              </a:schemeClr>
            </a:solidFill>
            <a:round/>
          </a:ln>
          <a:effectLst/>
        </c:spPr>
        <c:txPr>
          <a:bodyPr rot="-60000000" vert="horz"/>
          <a:lstStyle/>
          <a:p>
            <a:pPr>
              <a:defRPr>
                <a:solidFill>
                  <a:schemeClr val="tx1">
                    <a:lumMod val="65000"/>
                    <a:lumOff val="35000"/>
                  </a:schemeClr>
                </a:solidFill>
              </a:defRPr>
            </a:pPr>
            <a:endParaRPr lang="uk-UA"/>
          </a:p>
        </c:txPr>
        <c:crossAx val="378391944"/>
        <c:crosses val="autoZero"/>
        <c:auto val="1"/>
        <c:lblAlgn val="ctr"/>
        <c:lblOffset val="100"/>
        <c:noMultiLvlLbl val="0"/>
      </c:catAx>
      <c:valAx>
        <c:axId val="378391944"/>
        <c:scaling>
          <c:orientation val="minMax"/>
          <c:max val="1.5"/>
          <c:min val="0"/>
        </c:scaling>
        <c:delete val="0"/>
        <c:axPos val="l"/>
        <c:numFmt formatCode="0.0" sourceLinked="0"/>
        <c:majorTickMark val="none"/>
        <c:minorTickMark val="none"/>
        <c:tickLblPos val="nextTo"/>
        <c:spPr>
          <a:noFill/>
          <a:ln>
            <a:solidFill>
              <a:schemeClr val="bg1">
                <a:lumMod val="65000"/>
              </a:schemeClr>
            </a:solidFill>
          </a:ln>
          <a:effectLst/>
        </c:spPr>
        <c:txPr>
          <a:bodyPr rot="-60000000" vert="horz"/>
          <a:lstStyle/>
          <a:p>
            <a:pPr>
              <a:defRPr>
                <a:solidFill>
                  <a:schemeClr val="tx1">
                    <a:lumMod val="65000"/>
                    <a:lumOff val="35000"/>
                  </a:schemeClr>
                </a:solidFill>
              </a:defRPr>
            </a:pPr>
            <a:endParaRPr lang="uk-UA"/>
          </a:p>
        </c:txPr>
        <c:crossAx val="378389592"/>
        <c:crosses val="autoZero"/>
        <c:crossBetween val="between"/>
        <c:majorUnit val="0.5"/>
      </c:valAx>
      <c:spPr>
        <a:noFill/>
        <a:ln>
          <a:solidFill>
            <a:schemeClr val="bg1">
              <a:lumMod val="65000"/>
            </a:schemeClr>
          </a:solidFill>
        </a:ln>
        <a:effectLst/>
      </c:spPr>
    </c:plotArea>
    <c:legend>
      <c:legendPos val="b"/>
      <c:layout>
        <c:manualLayout>
          <c:xMode val="edge"/>
          <c:yMode val="edge"/>
          <c:x val="6.0237594646218931E-2"/>
          <c:y val="0.89024313424236601"/>
          <c:w val="0.92897170576191057"/>
          <c:h val="0.10975686575763395"/>
        </c:manualLayout>
      </c:layout>
      <c:overlay val="0"/>
      <c:spPr>
        <a:noFill/>
        <a:ln>
          <a:noFill/>
        </a:ln>
        <a:effectLst/>
      </c:spPr>
      <c:txPr>
        <a:bodyPr rot="0" vert="horz"/>
        <a:lstStyle/>
        <a:p>
          <a:pPr>
            <a:defRPr>
              <a:solidFill>
                <a:schemeClr val="tx1">
                  <a:lumMod val="65000"/>
                  <a:lumOff val="35000"/>
                </a:schemeClr>
              </a:solidFill>
            </a:defRPr>
          </a:pPr>
          <a:endParaRPr lang="uk-UA"/>
        </a:p>
      </c:txPr>
    </c:legend>
    <c:plotVisOnly val="1"/>
    <c:dispBlanksAs val="gap"/>
    <c:showDLblsOverMax val="0"/>
  </c:chart>
  <c:spPr>
    <a:solidFill>
      <a:schemeClr val="bg1"/>
    </a:solidFill>
    <a:ln w="9525" cap="flat" cmpd="sng" algn="ctr">
      <a:noFill/>
      <a:round/>
    </a:ln>
    <a:effectLst/>
  </c:spPr>
  <c:txPr>
    <a:bodyPr/>
    <a:lstStyle/>
    <a:p>
      <a:pPr>
        <a:defRPr sz="900"/>
      </a:pPr>
      <a:endParaRPr lang="uk-UA"/>
    </a:p>
  </c:txPr>
  <c:externalData r:id="rId1">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5471334155519714E-2"/>
          <c:y val="6.035665294924554E-2"/>
          <c:w val="0.92534909039984481"/>
          <c:h val="0.51133707052050592"/>
        </c:manualLayout>
      </c:layout>
      <c:barChart>
        <c:barDir val="col"/>
        <c:grouping val="clustered"/>
        <c:varyColors val="0"/>
        <c:ser>
          <c:idx val="0"/>
          <c:order val="0"/>
          <c:tx>
            <c:strRef>
              <c:f>Аркуш1!$B$1</c:f>
              <c:strCache>
                <c:ptCount val="1"/>
                <c:pt idx="0">
                  <c:v>надані позики Пенсійному фонду України (кошти ЄКР) протягом періоду, млрд грн</c:v>
                </c:pt>
              </c:strCache>
            </c:strRef>
          </c:tx>
          <c:spPr>
            <a:solidFill>
              <a:srgbClr val="FFC000"/>
            </a:solidFill>
            <a:ln>
              <a:noFill/>
            </a:ln>
            <a:effectLst/>
          </c:spPr>
          <c:invertIfNegative val="0"/>
          <c:dLbls>
            <c:dLbl>
              <c:idx val="1"/>
              <c:layout>
                <c:manualLayout>
                  <c:x val="-1.0073457499589522E-2"/>
                  <c:y val="2.2698229311131439E-7"/>
                </c:manualLayout>
              </c:layout>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dk1">
                          <a:lumMod val="75000"/>
                          <a:lumOff val="25000"/>
                        </a:schemeClr>
                      </a:solidFill>
                      <a:latin typeface="+mn-lt"/>
                      <a:ea typeface="+mn-ea"/>
                      <a:cs typeface="+mn-cs"/>
                    </a:defRPr>
                  </a:pPr>
                  <a:endParaRPr lang="uk-UA"/>
                </a:p>
              </c:txPr>
              <c:showLegendKey val="0"/>
              <c:showVal val="1"/>
              <c:showCatName val="0"/>
              <c:showSerName val="0"/>
              <c:showPercent val="0"/>
              <c:showBubbleSize val="0"/>
              <c:extLst>
                <c:ext xmlns:c15="http://schemas.microsoft.com/office/drawing/2012/chart" uri="{CE6537A1-D6FC-4f65-9D91-7224C49458BB}">
                  <c15:layout>
                    <c:manualLayout>
                      <c:w val="5.537431121200511E-2"/>
                      <c:h val="9.7924700894083241E-2"/>
                    </c:manualLayout>
                  </c15:layout>
                </c:ext>
                <c:ext xmlns:c16="http://schemas.microsoft.com/office/drawing/2014/chart" uri="{C3380CC4-5D6E-409C-BE32-E72D297353CC}">
                  <c16:uniqueId val="{00000000-E68A-49A1-809B-D5B31A0A1C43}"/>
                </c:ext>
              </c:extLst>
            </c:dLbl>
            <c:dLbl>
              <c:idx val="2"/>
              <c:layout>
                <c:manualLayout>
                  <c:x val="-4.4179368235034242E-3"/>
                  <c:y val="2.753303964757708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E68A-49A1-809B-D5B31A0A1C43}"/>
                </c:ext>
              </c:extLst>
            </c:dLbl>
            <c:dLbl>
              <c:idx val="3"/>
              <c:layout>
                <c:manualLayout>
                  <c:x val="0"/>
                  <c:y val="1.651982378854625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E68A-49A1-809B-D5B31A0A1C43}"/>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Аркуш1!$A$2:$A$5</c:f>
              <c:strCache>
                <c:ptCount val="4"/>
                <c:pt idx="0">
                  <c:v>2018 рік</c:v>
                </c:pt>
                <c:pt idx="1">
                  <c:v>2019 рік</c:v>
                </c:pt>
                <c:pt idx="2">
                  <c:v>2020 рік</c:v>
                </c:pt>
                <c:pt idx="3">
                  <c:v> січень - серпень 2021 року</c:v>
                </c:pt>
              </c:strCache>
            </c:strRef>
          </c:cat>
          <c:val>
            <c:numRef>
              <c:f>Аркуш1!$B$2:$B$5</c:f>
              <c:numCache>
                <c:formatCode>General</c:formatCode>
                <c:ptCount val="4"/>
                <c:pt idx="0">
                  <c:v>89.5</c:v>
                </c:pt>
                <c:pt idx="1">
                  <c:v>118.7</c:v>
                </c:pt>
                <c:pt idx="2">
                  <c:v>179</c:v>
                </c:pt>
                <c:pt idx="3">
                  <c:v>111.5</c:v>
                </c:pt>
              </c:numCache>
            </c:numRef>
          </c:val>
          <c:extLst>
            <c:ext xmlns:c16="http://schemas.microsoft.com/office/drawing/2014/chart" uri="{C3380CC4-5D6E-409C-BE32-E72D297353CC}">
              <c16:uniqueId val="{00000003-E68A-49A1-809B-D5B31A0A1C43}"/>
            </c:ext>
          </c:extLst>
        </c:ser>
        <c:ser>
          <c:idx val="1"/>
          <c:order val="1"/>
          <c:tx>
            <c:strRef>
              <c:f>Аркуш1!$C$1</c:f>
              <c:strCache>
                <c:ptCount val="1"/>
                <c:pt idx="0">
                  <c:v>погашені позики Пенсійному фонду України (кошти ЄКР) протягом періоду, млрд грн</c:v>
                </c:pt>
              </c:strCache>
            </c:strRef>
          </c:tx>
          <c:spPr>
            <a:solidFill>
              <a:schemeClr val="bg1">
                <a:lumMod val="65000"/>
              </a:schemeClr>
            </a:solidFill>
            <a:ln>
              <a:noFill/>
            </a:ln>
            <a:effectLst/>
          </c:spPr>
          <c:invertIfNegative val="0"/>
          <c:dLbls>
            <c:dLbl>
              <c:idx val="1"/>
              <c:layout>
                <c:manualLayout>
                  <c:x val="2.0147073637554144E-3"/>
                  <c:y val="5.7653502450273853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E68A-49A1-809B-D5B31A0A1C43}"/>
                </c:ext>
              </c:extLst>
            </c:dLbl>
            <c:dLbl>
              <c:idx val="2"/>
              <c:layout>
                <c:manualLayout>
                  <c:x val="-8.0994572774679877E-17"/>
                  <c:y val="1.1013215859030838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E68A-49A1-809B-D5B31A0A1C43}"/>
                </c:ext>
              </c:extLst>
            </c:dLbl>
            <c:dLbl>
              <c:idx val="3"/>
              <c:layout>
                <c:manualLayout>
                  <c:x val="2.2089684117517121E-3"/>
                  <c:y val="1.1013215859030838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E68A-49A1-809B-D5B31A0A1C43}"/>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uk-UA"/>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Аркуш1!$A$2:$A$5</c:f>
              <c:strCache>
                <c:ptCount val="4"/>
                <c:pt idx="0">
                  <c:v>2018 рік</c:v>
                </c:pt>
                <c:pt idx="1">
                  <c:v>2019 рік</c:v>
                </c:pt>
                <c:pt idx="2">
                  <c:v>2020 рік</c:v>
                </c:pt>
                <c:pt idx="3">
                  <c:v> січень - серпень 2021 року</c:v>
                </c:pt>
              </c:strCache>
            </c:strRef>
          </c:cat>
          <c:val>
            <c:numRef>
              <c:f>Аркуш1!$C$2:$C$5</c:f>
              <c:numCache>
                <c:formatCode>General</c:formatCode>
                <c:ptCount val="4"/>
                <c:pt idx="0">
                  <c:v>84.7</c:v>
                </c:pt>
                <c:pt idx="1">
                  <c:v>117.6</c:v>
                </c:pt>
                <c:pt idx="2">
                  <c:v>165</c:v>
                </c:pt>
                <c:pt idx="3">
                  <c:v>99.4</c:v>
                </c:pt>
              </c:numCache>
            </c:numRef>
          </c:val>
          <c:extLst>
            <c:ext xmlns:c16="http://schemas.microsoft.com/office/drawing/2014/chart" uri="{C3380CC4-5D6E-409C-BE32-E72D297353CC}">
              <c16:uniqueId val="{00000007-E68A-49A1-809B-D5B31A0A1C43}"/>
            </c:ext>
          </c:extLst>
        </c:ser>
        <c:dLbls>
          <c:dLblPos val="ctr"/>
          <c:showLegendKey val="0"/>
          <c:showVal val="1"/>
          <c:showCatName val="0"/>
          <c:showSerName val="0"/>
          <c:showPercent val="0"/>
          <c:showBubbleSize val="0"/>
        </c:dLbls>
        <c:gapWidth val="247"/>
        <c:axId val="2029003935"/>
        <c:axId val="2028996863"/>
      </c:barChart>
      <c:lineChart>
        <c:grouping val="standard"/>
        <c:varyColors val="0"/>
        <c:ser>
          <c:idx val="2"/>
          <c:order val="2"/>
          <c:tx>
            <c:strRef>
              <c:f>Аркуш1!$D$1</c:f>
              <c:strCache>
                <c:ptCount val="1"/>
                <c:pt idx="0">
                  <c:v>залишок непогашених позик Пенсійному фонду України (кошти ЄКР) на кінець періоду, млрд грн</c:v>
                </c:pt>
              </c:strCache>
            </c:strRef>
          </c:tx>
          <c:spPr>
            <a:ln w="38100" cap="rnd">
              <a:solidFill>
                <a:schemeClr val="tx2">
                  <a:lumMod val="60000"/>
                  <a:lumOff val="40000"/>
                </a:schemeClr>
              </a:solidFill>
              <a:round/>
            </a:ln>
            <a:effectLst/>
          </c:spPr>
          <c:marker>
            <c:symbol val="none"/>
          </c:marker>
          <c:dPt>
            <c:idx val="2"/>
            <c:marker>
              <c:symbol val="none"/>
            </c:marker>
            <c:bubble3D val="0"/>
            <c:extLst>
              <c:ext xmlns:c16="http://schemas.microsoft.com/office/drawing/2014/chart" uri="{C3380CC4-5D6E-409C-BE32-E72D297353CC}">
                <c16:uniqueId val="{00000008-E68A-49A1-809B-D5B31A0A1C43}"/>
              </c:ext>
            </c:extLst>
          </c:dPt>
          <c:dLbls>
            <c:dLbl>
              <c:idx val="0"/>
              <c:layout>
                <c:manualLayout>
                  <c:x val="-3.5181866999172702E-2"/>
                  <c:y val="4.896235044704162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E68A-49A1-809B-D5B31A0A1C43}"/>
                </c:ext>
              </c:extLst>
            </c:dLbl>
            <c:dLbl>
              <c:idx val="1"/>
              <c:layout>
                <c:manualLayout>
                  <c:x val="-3.3167159635417283E-2"/>
                  <c:y val="5.47277006920690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E68A-49A1-809B-D5B31A0A1C43}"/>
                </c:ext>
              </c:extLst>
            </c:dLbl>
            <c:dLbl>
              <c:idx val="2"/>
              <c:layout>
                <c:manualLayout>
                  <c:x val="-3.3167159635417283E-2"/>
                  <c:y val="6.049305093709628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E68A-49A1-809B-D5B31A0A1C43}"/>
                </c:ext>
              </c:extLst>
            </c:dLbl>
            <c:dLbl>
              <c:idx val="3"/>
              <c:layout>
                <c:manualLayout>
                  <c:x val="-3.8203928044805824E-2"/>
                  <c:y val="5.7610148832289591E-2"/>
                </c:manualLayout>
              </c:layout>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ysClr val="windowText" lastClr="000000"/>
                      </a:solidFill>
                      <a:latin typeface="+mn-lt"/>
                      <a:ea typeface="+mn-ea"/>
                      <a:cs typeface="+mn-cs"/>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manualLayout>
                      <c:w val="5.8275489815812917E-2"/>
                      <c:h val="0.12098610187419277"/>
                    </c:manualLayout>
                  </c15:layout>
                </c:ext>
                <c:ext xmlns:c16="http://schemas.microsoft.com/office/drawing/2014/chart" uri="{C3380CC4-5D6E-409C-BE32-E72D297353CC}">
                  <c16:uniqueId val="{0000000B-E68A-49A1-809B-D5B31A0A1C43}"/>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uk-UA"/>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Аркуш1!$A$2:$A$5</c:f>
              <c:strCache>
                <c:ptCount val="4"/>
                <c:pt idx="0">
                  <c:v>2018 рік</c:v>
                </c:pt>
                <c:pt idx="1">
                  <c:v>2019 рік</c:v>
                </c:pt>
                <c:pt idx="2">
                  <c:v>2020 рік</c:v>
                </c:pt>
                <c:pt idx="3">
                  <c:v> січень - серпень 2021 року</c:v>
                </c:pt>
              </c:strCache>
            </c:strRef>
          </c:cat>
          <c:val>
            <c:numRef>
              <c:f>Аркуш1!$D$2:$D$5</c:f>
              <c:numCache>
                <c:formatCode>General</c:formatCode>
                <c:ptCount val="4"/>
                <c:pt idx="0">
                  <c:v>52.8</c:v>
                </c:pt>
                <c:pt idx="1">
                  <c:v>49.2</c:v>
                </c:pt>
                <c:pt idx="2">
                  <c:v>62.1</c:v>
                </c:pt>
                <c:pt idx="3">
                  <c:v>74.2</c:v>
                </c:pt>
              </c:numCache>
            </c:numRef>
          </c:val>
          <c:smooth val="0"/>
          <c:extLst>
            <c:ext xmlns:c16="http://schemas.microsoft.com/office/drawing/2014/chart" uri="{C3380CC4-5D6E-409C-BE32-E72D297353CC}">
              <c16:uniqueId val="{0000000C-E68A-49A1-809B-D5B31A0A1C43}"/>
            </c:ext>
          </c:extLst>
        </c:ser>
        <c:dLbls>
          <c:showLegendKey val="0"/>
          <c:showVal val="0"/>
          <c:showCatName val="0"/>
          <c:showSerName val="0"/>
          <c:showPercent val="0"/>
          <c:showBubbleSize val="0"/>
        </c:dLbls>
        <c:marker val="1"/>
        <c:smooth val="0"/>
        <c:axId val="2029003935"/>
        <c:axId val="2028996863"/>
      </c:lineChart>
      <c:valAx>
        <c:axId val="2028996863"/>
        <c:scaling>
          <c:orientation val="minMax"/>
        </c:scaling>
        <c:delete val="0"/>
        <c:axPos val="r"/>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uk-UA"/>
          </a:p>
        </c:txPr>
        <c:crossAx val="2029003935"/>
        <c:crosses val="max"/>
        <c:crossBetween val="between"/>
      </c:valAx>
      <c:catAx>
        <c:axId val="2029003935"/>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uk-UA"/>
          </a:p>
        </c:txPr>
        <c:crossAx val="2028996863"/>
        <c:crosses val="autoZero"/>
        <c:auto val="1"/>
        <c:lblAlgn val="ctr"/>
        <c:lblOffset val="100"/>
        <c:noMultiLvlLbl val="0"/>
      </c:catAx>
      <c:spPr>
        <a:pattFill prst="ltDnDiag">
          <a:fgClr>
            <a:schemeClr val="dk1">
              <a:lumMod val="15000"/>
              <a:lumOff val="85000"/>
            </a:schemeClr>
          </a:fgClr>
          <a:bgClr>
            <a:schemeClr val="lt1"/>
          </a:bgClr>
        </a:pattFill>
        <a:ln>
          <a:noFill/>
        </a:ln>
        <a:effectLst/>
      </c:spPr>
    </c:plotArea>
    <c:legend>
      <c:legendPos val="b"/>
      <c:layout>
        <c:manualLayout>
          <c:xMode val="edge"/>
          <c:yMode val="edge"/>
          <c:x val="9.5490051815093241E-5"/>
          <c:y val="0.68662915405969183"/>
          <c:w val="0.98604042329103769"/>
          <c:h val="0.28298336446773781"/>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uk-UA"/>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uk-UA"/>
    </a:p>
  </c:txPr>
  <c:externalData r:id="rId3">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1" i="0" u="none" strike="noStrike" kern="1200" cap="none" spc="0" normalizeH="0" baseline="0">
                <a:solidFill>
                  <a:schemeClr val="tx1"/>
                </a:solidFill>
                <a:latin typeface="+mj-lt"/>
                <a:ea typeface="+mj-ea"/>
                <a:cs typeface="+mj-cs"/>
              </a:defRPr>
            </a:pPr>
            <a:r>
              <a:rPr lang="ru-RU" sz="1100" b="1">
                <a:solidFill>
                  <a:schemeClr val="tx1"/>
                </a:solidFill>
                <a:latin typeface="Times New Roman" panose="02020603050405020304" pitchFamily="18" charset="0"/>
                <a:cs typeface="Times New Roman" panose="02020603050405020304" pitchFamily="18" charset="0"/>
              </a:rPr>
              <a:t>Динаміка кількості НС та завданих ними збитків</a:t>
            </a:r>
          </a:p>
          <a:p>
            <a:pPr>
              <a:defRPr sz="1000">
                <a:solidFill>
                  <a:schemeClr val="tx1"/>
                </a:solidFill>
              </a:defRPr>
            </a:pPr>
            <a:r>
              <a:rPr lang="ru-RU" sz="1100" b="1">
                <a:solidFill>
                  <a:schemeClr val="tx1"/>
                </a:solidFill>
                <a:latin typeface="Times New Roman" panose="02020603050405020304" pitchFamily="18" charset="0"/>
                <a:cs typeface="Times New Roman" panose="02020603050405020304" pitchFamily="18" charset="0"/>
              </a:rPr>
              <a:t> за 2011-2020 роки</a:t>
            </a:r>
            <a:endParaRPr lang="uk-UA" sz="1100" b="1">
              <a:solidFill>
                <a:schemeClr val="tx1"/>
              </a:solidFill>
              <a:latin typeface="Times New Roman" panose="02020603050405020304" pitchFamily="18" charset="0"/>
              <a:cs typeface="Times New Roman" panose="02020603050405020304" pitchFamily="18" charset="0"/>
            </a:endParaRPr>
          </a:p>
        </c:rich>
      </c:tx>
      <c:overlay val="0"/>
      <c:spPr>
        <a:solidFill>
          <a:schemeClr val="bg1"/>
        </a:solidFill>
        <a:ln>
          <a:noFill/>
        </a:ln>
        <a:effectLst/>
      </c:spPr>
      <c:txPr>
        <a:bodyPr rot="0" spcFirstLastPara="1" vertOverflow="ellipsis" vert="horz" wrap="square" anchor="ctr" anchorCtr="1"/>
        <a:lstStyle/>
        <a:p>
          <a:pPr>
            <a:defRPr sz="1000" b="1" i="0" u="none" strike="noStrike" kern="1200" cap="none" spc="0" normalizeH="0" baseline="0">
              <a:solidFill>
                <a:schemeClr val="tx1"/>
              </a:solidFill>
              <a:latin typeface="+mj-lt"/>
              <a:ea typeface="+mj-ea"/>
              <a:cs typeface="+mj-cs"/>
            </a:defRPr>
          </a:pPr>
          <a:endParaRPr lang="uk-UA"/>
        </a:p>
      </c:txPr>
    </c:title>
    <c:autoTitleDeleted val="0"/>
    <c:plotArea>
      <c:layout/>
      <c:barChart>
        <c:barDir val="col"/>
        <c:grouping val="clustered"/>
        <c:varyColors val="0"/>
        <c:ser>
          <c:idx val="1"/>
          <c:order val="1"/>
          <c:tx>
            <c:strRef>
              <c:f>Аркуш1!$C$1</c:f>
              <c:strCache>
                <c:ptCount val="1"/>
                <c:pt idx="0">
                  <c:v>Всього НС</c:v>
                </c:pt>
              </c:strCache>
            </c:strRef>
          </c:tx>
          <c:spPr>
            <a:solidFill>
              <a:schemeClr val="bg1">
                <a:lumMod val="6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mj-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numRef>
              <c:f>Аркуш1!$A$2:$A$11</c:f>
              <c:numCache>
                <c:formatCode>General</c:formatCode>
                <c:ptCount val="10"/>
                <c:pt idx="0">
                  <c:v>2011</c:v>
                </c:pt>
                <c:pt idx="1">
                  <c:v>2012</c:v>
                </c:pt>
                <c:pt idx="2">
                  <c:v>2013</c:v>
                </c:pt>
                <c:pt idx="3">
                  <c:v>2014</c:v>
                </c:pt>
                <c:pt idx="4">
                  <c:v>2015</c:v>
                </c:pt>
                <c:pt idx="5">
                  <c:v>2016</c:v>
                </c:pt>
                <c:pt idx="6">
                  <c:v>2017</c:v>
                </c:pt>
                <c:pt idx="7">
                  <c:v>2018</c:v>
                </c:pt>
                <c:pt idx="8">
                  <c:v>2019</c:v>
                </c:pt>
                <c:pt idx="9">
                  <c:v>2020</c:v>
                </c:pt>
              </c:numCache>
            </c:numRef>
          </c:cat>
          <c:val>
            <c:numRef>
              <c:f>Аркуш1!$C$2:$C$11</c:f>
              <c:numCache>
                <c:formatCode>General</c:formatCode>
                <c:ptCount val="10"/>
                <c:pt idx="0">
                  <c:v>221</c:v>
                </c:pt>
                <c:pt idx="1">
                  <c:v>212</c:v>
                </c:pt>
                <c:pt idx="2">
                  <c:v>144</c:v>
                </c:pt>
                <c:pt idx="3">
                  <c:v>143</c:v>
                </c:pt>
                <c:pt idx="4">
                  <c:v>148</c:v>
                </c:pt>
                <c:pt idx="5">
                  <c:v>149</c:v>
                </c:pt>
                <c:pt idx="6">
                  <c:v>166</c:v>
                </c:pt>
                <c:pt idx="7">
                  <c:v>128</c:v>
                </c:pt>
                <c:pt idx="8">
                  <c:v>146</c:v>
                </c:pt>
                <c:pt idx="9">
                  <c:v>116</c:v>
                </c:pt>
              </c:numCache>
            </c:numRef>
          </c:val>
          <c:extLst>
            <c:ext xmlns:c16="http://schemas.microsoft.com/office/drawing/2014/chart" uri="{C3380CC4-5D6E-409C-BE32-E72D297353CC}">
              <c16:uniqueId val="{00000000-098D-41B5-82B8-1BB30002B282}"/>
            </c:ext>
          </c:extLst>
        </c:ser>
        <c:dLbls>
          <c:showLegendKey val="0"/>
          <c:showVal val="1"/>
          <c:showCatName val="0"/>
          <c:showSerName val="0"/>
          <c:showPercent val="0"/>
          <c:showBubbleSize val="0"/>
        </c:dLbls>
        <c:gapWidth val="247"/>
        <c:overlap val="5"/>
        <c:axId val="1384464655"/>
        <c:axId val="1384466319"/>
      </c:barChart>
      <c:lineChart>
        <c:grouping val="stacked"/>
        <c:varyColors val="0"/>
        <c:ser>
          <c:idx val="0"/>
          <c:order val="0"/>
          <c:tx>
            <c:strRef>
              <c:f>Аркуш1!$B$1</c:f>
              <c:strCache>
                <c:ptCount val="1"/>
                <c:pt idx="0">
                  <c:v>Матеріальні збитки, млрд гривень</c:v>
                </c:pt>
              </c:strCache>
            </c:strRef>
          </c:tx>
          <c:spPr>
            <a:ln w="31750" cap="rnd">
              <a:solidFill>
                <a:srgbClr val="FF0000"/>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j-lt"/>
                    <a:ea typeface="+mn-ea"/>
                    <a:cs typeface="+mn-cs"/>
                  </a:defRPr>
                </a:pPr>
                <a:endParaRPr lang="uk-UA"/>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numRef>
              <c:f>Аркуш1!$A$2:$A$11</c:f>
              <c:numCache>
                <c:formatCode>General</c:formatCode>
                <c:ptCount val="10"/>
                <c:pt idx="0">
                  <c:v>2011</c:v>
                </c:pt>
                <c:pt idx="1">
                  <c:v>2012</c:v>
                </c:pt>
                <c:pt idx="2">
                  <c:v>2013</c:v>
                </c:pt>
                <c:pt idx="3">
                  <c:v>2014</c:v>
                </c:pt>
                <c:pt idx="4">
                  <c:v>2015</c:v>
                </c:pt>
                <c:pt idx="5">
                  <c:v>2016</c:v>
                </c:pt>
                <c:pt idx="6">
                  <c:v>2017</c:v>
                </c:pt>
                <c:pt idx="7">
                  <c:v>2018</c:v>
                </c:pt>
                <c:pt idx="8">
                  <c:v>2019</c:v>
                </c:pt>
                <c:pt idx="9">
                  <c:v>2020</c:v>
                </c:pt>
              </c:numCache>
            </c:numRef>
          </c:cat>
          <c:val>
            <c:numRef>
              <c:f>Аркуш1!$B$2:$B$11</c:f>
              <c:numCache>
                <c:formatCode>0.00</c:formatCode>
                <c:ptCount val="10"/>
                <c:pt idx="0">
                  <c:v>0.10274999999999999</c:v>
                </c:pt>
                <c:pt idx="1">
                  <c:v>0.24978999999999998</c:v>
                </c:pt>
                <c:pt idx="2">
                  <c:v>0.39632999999999996</c:v>
                </c:pt>
                <c:pt idx="3">
                  <c:v>0.19885</c:v>
                </c:pt>
                <c:pt idx="4">
                  <c:v>0.53272000000000008</c:v>
                </c:pt>
                <c:pt idx="5">
                  <c:v>0.26530999999999999</c:v>
                </c:pt>
                <c:pt idx="6">
                  <c:v>0.89680399999999993</c:v>
                </c:pt>
                <c:pt idx="7">
                  <c:v>0.49696499999999999</c:v>
                </c:pt>
                <c:pt idx="8">
                  <c:v>1.625869</c:v>
                </c:pt>
                <c:pt idx="9">
                  <c:v>28.262700000000002</c:v>
                </c:pt>
              </c:numCache>
            </c:numRef>
          </c:val>
          <c:smooth val="0"/>
          <c:extLst>
            <c:ext xmlns:c16="http://schemas.microsoft.com/office/drawing/2014/chart" uri="{C3380CC4-5D6E-409C-BE32-E72D297353CC}">
              <c16:uniqueId val="{00000001-098D-41B5-82B8-1BB30002B282}"/>
            </c:ext>
          </c:extLst>
        </c:ser>
        <c:dLbls>
          <c:showLegendKey val="0"/>
          <c:showVal val="1"/>
          <c:showCatName val="0"/>
          <c:showSerName val="0"/>
          <c:showPercent val="0"/>
          <c:showBubbleSize val="0"/>
        </c:dLbls>
        <c:marker val="1"/>
        <c:smooth val="0"/>
        <c:axId val="1384464655"/>
        <c:axId val="1384466319"/>
      </c:lineChart>
      <c:valAx>
        <c:axId val="1384466319"/>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0"/>
        <c:majorTickMark val="none"/>
        <c:minorTickMark val="none"/>
        <c:tickLblPos val="nextTo"/>
        <c:spPr>
          <a:noFill/>
          <a:ln>
            <a:noFill/>
          </a:ln>
          <a:effectLst/>
        </c:spPr>
        <c:txPr>
          <a:bodyPr rot="0" spcFirstLastPara="1" vertOverflow="ellipsis" wrap="square" anchor="ctr" anchorCtr="1"/>
          <a:lstStyle/>
          <a:p>
            <a:pPr>
              <a:defRPr sz="900" b="0" i="0" u="none" strike="noStrike" kern="1200" baseline="0">
                <a:solidFill>
                  <a:schemeClr val="dk1">
                    <a:lumMod val="65000"/>
                    <a:lumOff val="35000"/>
                  </a:schemeClr>
                </a:solidFill>
                <a:latin typeface="+mj-lt"/>
                <a:ea typeface="+mn-ea"/>
                <a:cs typeface="+mn-cs"/>
              </a:defRPr>
            </a:pPr>
            <a:endParaRPr lang="uk-UA"/>
          </a:p>
        </c:txPr>
        <c:crossAx val="1384464655"/>
        <c:crosses val="autoZero"/>
        <c:crossBetween val="between"/>
      </c:valAx>
      <c:catAx>
        <c:axId val="1384464655"/>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0"/>
        <c:majorTickMark val="out"/>
        <c:minorTickMark val="none"/>
        <c:tickLblPos val="low"/>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uk-UA"/>
          </a:p>
        </c:txPr>
        <c:crossAx val="1384466319"/>
        <c:crosses val="autoZero"/>
        <c:auto val="0"/>
        <c:lblAlgn val="ctr"/>
        <c:lblOffset val="100"/>
        <c:noMultiLvlLbl val="0"/>
      </c:cat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uk-UA"/>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uk-UA"/>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21">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11.xml><?xml version="1.0" encoding="utf-8"?>
<cs:chartStyle xmlns:cs="http://schemas.microsoft.com/office/drawing/2012/chartStyle" xmlns:a="http://schemas.openxmlformats.org/drawingml/2006/main" id="221">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12.xml><?xml version="1.0" encoding="utf-8"?>
<cs:chartStyle xmlns:cs="http://schemas.microsoft.com/office/drawing/2012/chartStyle" xmlns:a="http://schemas.openxmlformats.org/drawingml/2006/main" id="221">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theme/theme1.xml><?xml version="1.0" encoding="utf-8"?>
<a:theme xmlns:a="http://schemas.openxmlformats.org/drawingml/2006/main" name="Тема Office">
  <a:themeElements>
    <a:clrScheme name="Стандартна">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Документ" ma:contentTypeID="0x01010051DC89FFDAC4684DB262DCE45F8F3961" ma:contentTypeVersion="0" ma:contentTypeDescription="Створення нового документа." ma:contentTypeScope="" ma:versionID="83c020f26922ed63a1879982c2428808">
  <xsd:schema xmlns:xsd="http://www.w3.org/2001/XMLSchema" xmlns:xs="http://www.w3.org/2001/XMLSchema" xmlns:p="http://schemas.microsoft.com/office/2006/metadata/properties" xmlns:ns2="acedc1b3-a6a6-4744-bb8f-c9b717f8a9c9" targetNamespace="http://schemas.microsoft.com/office/2006/metadata/properties" ma:root="true" ma:fieldsID="0726173c3e9f53e106ecb31a6e2fb790" ns2:_="">
    <xsd:import namespace="acedc1b3-a6a6-4744-bb8f-c9b717f8a9c9"/>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edc1b3-a6a6-4744-bb8f-c9b717f8a9c9" elementFormDefault="qualified">
    <xsd:import namespace="http://schemas.microsoft.com/office/2006/documentManagement/types"/>
    <xsd:import namespace="http://schemas.microsoft.com/office/infopath/2007/PartnerControls"/>
    <xsd:element name="_dlc_DocId" ma:index="8" nillable="true" ma:displayName="Значення ідентифікатора документа" ma:description="Значення ідентифікатора документа, призначеного цьому елементу." ma:internalName="_dlc_DocId" ma:readOnly="true">
      <xsd:simpleType>
        <xsd:restriction base="dms:Text"/>
      </xsd:simpleType>
    </xsd:element>
    <xsd:element name="_dlc_DocIdUrl" ma:index="9" nillable="true" ma:displayName="Ідентифікатор документа" ma:description="Постійне посилання на цей документ."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Сохранить идентификатор" ma:description="Сохранять идентификатор при добавлении."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вмісту"/>
        <xsd:element ref="dc:title" minOccurs="0" maxOccurs="1" ma:index="4" ma:displayName="Заголовок"/>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3.xml><?xml version="1.0" encoding="utf-8"?>
<p:properties xmlns:p="http://schemas.microsoft.com/office/2006/metadata/properties" xmlns:xsi="http://www.w3.org/2001/XMLSchema-instance" xmlns:pc="http://schemas.microsoft.com/office/infopath/2007/PartnerControls">
  <documentManagement>
    <_dlc_DocId xmlns="acedc1b3-a6a6-4744-bb8f-c9b717f8a9c9">MFWF-331-52741</_dlc_DocId>
    <_dlc_DocIdUrl xmlns="acedc1b3-a6a6-4744-bb8f-c9b717f8a9c9">
      <Url>http://workflow/04000/04110/_layouts/DocIdRedir.aspx?ID=MFWF-331-52741</Url>
      <Description>MFWF-331-52741</Description>
    </_dlc_DocIdUrl>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8CA10C-8941-4F43-AAD1-2A620A23A6A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edc1b3-a6a6-4744-bb8f-c9b717f8a9c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4A212EE-DC13-4C90-8CEA-343A85F360FF}">
  <ds:schemaRefs>
    <ds:schemaRef ds:uri="http://schemas.microsoft.com/sharepoint/events"/>
  </ds:schemaRefs>
</ds:datastoreItem>
</file>

<file path=customXml/itemProps3.xml><?xml version="1.0" encoding="utf-8"?>
<ds:datastoreItem xmlns:ds="http://schemas.openxmlformats.org/officeDocument/2006/customXml" ds:itemID="{AD3D50D7-99F7-4962-9F0C-F286B53089B6}">
  <ds:schemaRefs>
    <ds:schemaRef ds:uri="http://schemas.microsoft.com/office/2006/metadata/properties"/>
    <ds:schemaRef ds:uri="http://schemas.microsoft.com/office/infopath/2007/PartnerControls"/>
    <ds:schemaRef ds:uri="acedc1b3-a6a6-4744-bb8f-c9b717f8a9c9"/>
  </ds:schemaRefs>
</ds:datastoreItem>
</file>

<file path=customXml/itemProps4.xml><?xml version="1.0" encoding="utf-8"?>
<ds:datastoreItem xmlns:ds="http://schemas.openxmlformats.org/officeDocument/2006/customXml" ds:itemID="{6EAAE166-16E0-4D66-8958-842D8925DDE4}">
  <ds:schemaRefs>
    <ds:schemaRef ds:uri="http://schemas.microsoft.com/sharepoint/v3/contenttype/forms"/>
  </ds:schemaRefs>
</ds:datastoreItem>
</file>

<file path=customXml/itemProps5.xml><?xml version="1.0" encoding="utf-8"?>
<ds:datastoreItem xmlns:ds="http://schemas.openxmlformats.org/officeDocument/2006/customXml" ds:itemID="{88FCCC1B-4146-472E-AD87-64444FB03B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143</TotalTime>
  <Pages>37</Pages>
  <Words>64642</Words>
  <Characters>36846</Characters>
  <Application>Microsoft Office Word</Application>
  <DocSecurity>0</DocSecurity>
  <Lines>307</Lines>
  <Paragraphs>202</Paragraphs>
  <ScaleCrop>false</ScaleCrop>
  <HeadingPairs>
    <vt:vector size="4" baseType="variant">
      <vt:variant>
        <vt:lpstr>Назва</vt:lpstr>
      </vt:variant>
      <vt:variant>
        <vt:i4>1</vt:i4>
      </vt:variant>
      <vt:variant>
        <vt:lpstr>Название</vt:lpstr>
      </vt:variant>
      <vt:variant>
        <vt:i4>1</vt:i4>
      </vt:variant>
    </vt:vector>
  </HeadingPairs>
  <TitlesOfParts>
    <vt:vector size="2" baseType="lpstr">
      <vt:lpstr/>
      <vt:lpstr/>
    </vt:vector>
  </TitlesOfParts>
  <Company>Minfin</Company>
  <LinksUpToDate>false</LinksUpToDate>
  <CharactersWithSpaces>101286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Користувач Windows</dc:creator>
  <cp:keywords/>
  <dc:description/>
  <cp:lastModifiedBy>Богатиренко Наталія Григорівна</cp:lastModifiedBy>
  <cp:revision>46</cp:revision>
  <cp:lastPrinted>2021-09-10T10:09:00Z</cp:lastPrinted>
  <dcterms:created xsi:type="dcterms:W3CDTF">2021-09-10T06:29:00Z</dcterms:created>
  <dcterms:modified xsi:type="dcterms:W3CDTF">2021-09-10T11:14:00Z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54ce476a-c59c-4218-aace-66c3db7a2f33</vt:lpwstr>
  </property>
  <property fmtid="{D5CDD505-2E9C-101B-9397-08002B2CF9AE}" pid="3" name="ContentTypeId">
    <vt:lpwstr>0x01010051DC89FFDAC4684DB262DCE45F8F3961</vt:lpwstr>
  </property>
</Properties>
</file>